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2   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西藏自治区公路建设市场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</w:rPr>
        <w:t>企业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信息核备工作指南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2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咨询联系方式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企业如遇信息核备资料、流程方面的问题，请先认真阅读本通知，再咨询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相应的受理部门。从业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注册、找回企业账户、重置密码、更换预留手机号等相关操作，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咨询注册审核单位：施工企业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请联系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中国公路建设行业协会，010-64868878-818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，微信公众号“中国公路建设行业协会”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设计企业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请联系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中国公路勘察设计协会，010-82017141。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二、企业可通过系统提交的信息类型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（一）新填报基本信息（含基础、资质、人员、财务信息等）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（二）变更基本信息（含基础、资质、人员、财务信息等）；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（三）新填报业绩信息（含人员业绩信息）；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（四）变更业绩信息。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三、信息核备工作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流程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首次登录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系统的从业企业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eastAsia="zh-CN"/>
        </w:rPr>
        <w:t>按上文“咨询联系方式”中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提供的联系方式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向相关单位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申请系统账号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从业企业如实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录入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或变更相关信息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，同时按下文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eastAsia="zh-CN"/>
        </w:rPr>
        <w:t>“企业申请信息核备应提交资料”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要求通过系统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上传清晰、齐备的佐证材料扫描件，未按要求提交佐证材料扫描件或提交资料不齐的，退回不予受理。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按照所需核备项目的性质，纸质版递交至相应受理部门（厅建设管理处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从业企业应及时申请核备，对于已在系统上提交的信息，自提交之日起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两个月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内未按要求办理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线下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核备事宜的，予以退回。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（四）初审部门提交初审单位信用信息核备登记表（附件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）至厅建设管理处核备或由厅建设管理处直接核备。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　　（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）从业企业应及时登陆系统查看信息核备状态：显示为“审核中”时，信息尚待审核；显示为“审核通过”时，信息已通过审核并发布；显示为“未提交”时，信息已被审核单位退回，退回原因可在“流程流转”查看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eastAsia="zh-CN"/>
        </w:rPr>
        <w:t>企业申请信息核备应提交的材料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企业每次办理信息核备均应提供以下材料: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申请表（附件3）；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2、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企业授权委托书（附件4）；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3、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承诺书（附件5）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4、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系统填报信息截图。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应注意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办理信息核备事宜的承办人应为公司正式员工；每项信息核备均应提供相应系统填报信息截图，截图应清晰完整显示企业填报信息详情。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新填报企业基本信息还应提供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营业执照、资质证书、安全生产许可证、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/>
        </w:rPr>
        <w:t>账户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开户许可证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国家企业信用信息系统中基础信息页面截图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。（同时请一并提供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备查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资质证书仅录入与公路建设相关资质，其余资质不予核备；建筑工程施工总承包资质不要误填为房屋建筑工程施工总承包资质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；填报财务信息的还需提交第三方出具的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审计报告原件扫描件；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基本信息填报时，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应如实填报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股东及出资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详细信息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应对存在控股、参股关系的关联企业情况进行说明，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并提供企业在国家企业信用信息系统中基础信息页面的截图；企业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曾用名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或合并、分立情形的应如实填写；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企业的联系人、联系人电话、企业电话及地址应准确、有效，如有变化，应及时变更已录信息，确保需要时管理部门能够及时联络。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变更企业基本信息还应提供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更信息相关的佐证材料，如“离职证明、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终止劳动合同协议书、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营业执照、资质证书、安全生产许可证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等”。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应注意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人员离职的应由原单位申请变更，将人员履历信息中人员状态从在职变更为离职。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新填报业绩信息还应按以下要求分别提供材料：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施工业绩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各级公共资源交易中心网站发布的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中标公示（或中标候选人公示）网页截图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</w:rPr>
        <w:t>中标通知书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合同协议书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关键页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highlight w:val="none"/>
          <w:lang w:eastAsia="zh-CN"/>
        </w:rPr>
        <w:t>彩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印件（包括中标合同价、工程主要内容、合同工期、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拟投入项目主要人员信息表及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合同双方签署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页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开工令、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</w:rPr>
        <w:t>项目交工验收证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书或竣工验收鉴定书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应注意：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交工验收证书上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施工单位、监理单位、设计单位和项目法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人签字、盖章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日期均应齐备，且盖章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为企业法人章，项目办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、驻监办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等非法人章不予认可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工程名称和合同价以合同协议书为准填写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；开工日期以开工令或合同约定日期为准填写；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交工日期以项目法人出具的《公路工程（合同段）交工验收证书》载明的交工验收时间为准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；填写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结算价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经建设单位签章的竣工决算审计资料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作为佐证材料，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尚未竣工决算的无需填写结算价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2、设计业绩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各级公共资源交易中心网站发布的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中标公示（或中标候选人公示）网页截图、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</w:rPr>
        <w:t>中标通知书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、合同协议书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关键页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复印件（包括中标合同价、工程主要内容、合同工期、合同双方签署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页及拟投入项目主要人员信息表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等）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、项目初步设计批复、施工图设计批复等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应注意：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设计开始时间以合同载明的开始日期或者合同签订日期为准；设计结束时间以相应的设计批复时间为准。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变更业绩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变更业绩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信息还应提供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变更信息的相关佐证材料，并在变更说明一栏明确注明变更内容及原因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。勘察设计业绩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在建转为已建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的应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提供相应设计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批复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，施工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业绩在建转为已建的应提供交工证书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人员业绩信息或交工证书上的工程量描述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不能满足从业企业投标需求的，可提供企业履约情况汇总表（附件6）作为佐证材料。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五、其他注意事项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从业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企业录入业绩信息时应同步录入该项目相关人员业绩信息，业绩信息核备已通过的不再受理其人员业绩信息核备申请。人员业绩信息通过核备后，不得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变更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或增补。业绩信息中涉及补充完善工程量描述的变更，不得与原描述冲突，并应提供相应佐证材料。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履约人员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与合同文件中约定不一致的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提供经监理及业主单位签字并签章认可的人员变更申请批复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Hans"/>
        </w:rPr>
        <w:t>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，其他证明材料不予认可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履约人员中，同一在岗时间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Hans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的项目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正职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不能超过1人，副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不能超过2人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人员在岗时间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不得少于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Hans"/>
        </w:rPr>
        <w:t>合同约定时间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分包业绩核备应提交以下资料：招承包人时的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招标文件关键页（即招标文件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中有关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分包的条款或投标人须知前附表1.11.1内容页面）、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承包人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投标文件关键页（即拟分包项目情况表）、合同签订时分包企业的资质证书（分包内容不能超过企业资质允许承担的业务范围）、建设管理单位和施工监理企业同意中标人分包的审批手续、分包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、结算协议。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对于采用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施工总承包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建设模式的项目，施工总承包单位录入业绩信息时，工程名称后须补充注明：“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施工总承包业绩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）”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主要工程量中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补充注明：“本项目采用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施工总承包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模式建设，我司为施工总承包单位”；具体施工单位录入业绩信息时，须在主要工程量中补充注明：“本项目采用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施工总承包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模式建设，施工总承包单位为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公司，本合同段的具体施工由我司承担。”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对于联合体业绩，从业企业录入业绩信息时，工程名称后须补充注明：“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（联合体业绩）”，主要工程量中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补充注明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“本项目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为联合体中标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联合体牵头单位为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XXXX，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联合体其他成员为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XXXX、XXXX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”；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在合同价、结算价、主要工程量或主要设计内容中只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填写本企业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的部分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须提供加盖业主印章的联合体协议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作为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佐证材料。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316" w:firstLineChars="1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 w:eastAsia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 w:eastAsia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E87EE"/>
    <w:multiLevelType w:val="singleLevel"/>
    <w:tmpl w:val="7F9E87EE"/>
    <w:lvl w:ilvl="0" w:tentative="0">
      <w:start w:val="1"/>
      <w:numFmt w:val="chineseCounting"/>
      <w:suff w:val="nothing"/>
      <w:lvlText w:val="%1、"/>
      <w:lvlJc w:val="left"/>
      <w:pPr>
        <w:ind w:left="63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58"/>
  <w:drawingGridVerticalSpacing w:val="57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mNjOGU2NmNiMWRkYTg2YTJhOWI3MWU2MjJmYWQifQ=="/>
  </w:docVars>
  <w:rsids>
    <w:rsidRoot w:val="00000000"/>
    <w:rsid w:val="1F4B2E2E"/>
    <w:rsid w:val="24B56F2E"/>
    <w:rsid w:val="3BD2598F"/>
    <w:rsid w:val="5DBF1EF8"/>
    <w:rsid w:val="7D5CF3DA"/>
    <w:rsid w:val="7EDF4182"/>
    <w:rsid w:val="7EEF0CC9"/>
    <w:rsid w:val="96BDEBBA"/>
    <w:rsid w:val="F6F9218A"/>
    <w:rsid w:val="FE2DD3DC"/>
    <w:rsid w:val="FEFE2962"/>
    <w:rsid w:val="FF8F5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黔交0.wpt</Template>
  <Pages>6</Pages>
  <Words>2957</Words>
  <Characters>3105</Characters>
  <Lines>1</Lines>
  <Paragraphs>1</Paragraphs>
  <TotalTime>1</TotalTime>
  <ScaleCrop>false</ScaleCrop>
  <LinksUpToDate>false</LinksUpToDate>
  <CharactersWithSpaces>3121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2021-11-06T02:25:00Z</dcterms:created>
  <dc:creator>熊莹</dc:creator>
  <cp:lastModifiedBy>jtt</cp:lastModifiedBy>
  <cp:lastPrinted>2025-07-22T18:01:11Z</cp:lastPrinted>
  <dcterms:modified xsi:type="dcterms:W3CDTF">2025-07-22T18:01:27Z</dcterms:modified>
  <dc:title>黔路发〔〕号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BC24B026A3A14E3D9416B5FE20707B7F</vt:lpwstr>
  </property>
</Properties>
</file>