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sz w:val="44"/>
          <w:szCs w:val="44"/>
        </w:rPr>
      </w:pPr>
      <w:r>
        <w:rPr>
          <w:rFonts w:hint="eastAsia" w:ascii="宋体" w:hAnsi="宋体"/>
          <w:sz w:val="44"/>
          <w:szCs w:val="44"/>
        </w:rPr>
        <w:t>第三章 评标办法（综合评估法）</w:t>
      </w:r>
    </w:p>
    <w:p>
      <w:pPr>
        <w:pStyle w:val="3"/>
        <w:spacing w:line="500" w:lineRule="exact"/>
        <w:rPr>
          <w:rFonts w:ascii="宋体" w:hAnsi="宋体" w:eastAsia="宋体"/>
        </w:rPr>
      </w:pPr>
      <w:bookmarkStart w:id="0" w:name="_Toc97251277"/>
      <w:bookmarkStart w:id="1" w:name="_Toc149010162"/>
      <w:r>
        <w:rPr>
          <w:rFonts w:hint="eastAsia" w:ascii="宋体" w:hAnsi="宋体" w:eastAsia="宋体"/>
        </w:rPr>
        <w:t>评标办法前附表</w:t>
      </w:r>
      <w:bookmarkEnd w:id="0"/>
      <w:bookmarkEnd w:id="1"/>
    </w:p>
    <w:p>
      <w:pPr>
        <w:spacing w:line="500" w:lineRule="exact"/>
        <w:rPr>
          <w:rFonts w:ascii="宋体" w:hAnsi="宋体"/>
        </w:rPr>
      </w:pPr>
    </w:p>
    <w:tbl>
      <w:tblPr>
        <w:tblStyle w:val="4"/>
        <w:tblW w:w="90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
        <w:gridCol w:w="614"/>
        <w:gridCol w:w="2654"/>
        <w:gridCol w:w="4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9" w:hRule="atLeast"/>
          <w:tblHeader/>
          <w:jc w:val="center"/>
        </w:trPr>
        <w:tc>
          <w:tcPr>
            <w:tcW w:w="1489" w:type="dxa"/>
            <w:gridSpan w:val="3"/>
            <w:noWrap w:val="0"/>
            <w:vAlign w:val="center"/>
          </w:tcPr>
          <w:p>
            <w:pPr>
              <w:jc w:val="center"/>
              <w:rPr>
                <w:b/>
                <w:bCs/>
              </w:rPr>
            </w:pPr>
            <w:bookmarkStart w:id="2" w:name="_Toc68264539"/>
            <w:bookmarkStart w:id="3" w:name="_Toc97251278"/>
            <w:bookmarkStart w:id="4" w:name="_Toc234832933"/>
            <w:bookmarkStart w:id="5" w:name="_Toc68386667"/>
            <w:bookmarkStart w:id="6" w:name="_Toc501257127"/>
            <w:r>
              <w:rPr>
                <w:b/>
                <w:bCs/>
              </w:rPr>
              <w:t>条款号</w:t>
            </w:r>
          </w:p>
        </w:tc>
        <w:tc>
          <w:tcPr>
            <w:tcW w:w="7532" w:type="dxa"/>
            <w:gridSpan w:val="2"/>
            <w:noWrap w:val="0"/>
            <w:vAlign w:val="center"/>
          </w:tcPr>
          <w:p>
            <w:pPr>
              <w:jc w:val="center"/>
              <w:rPr>
                <w:b/>
                <w:bCs/>
              </w:rPr>
            </w:pPr>
            <w:r>
              <w:rPr>
                <w:rFonts w:hint="eastAsia"/>
                <w:b/>
                <w:bCs/>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1" w:type="dxa"/>
            <w:noWrap w:val="0"/>
            <w:vAlign w:val="center"/>
          </w:tcPr>
          <w:p>
            <w:pPr>
              <w:jc w:val="center"/>
            </w:pPr>
            <w:r>
              <w:rPr>
                <w:rFonts w:hint="eastAsia"/>
              </w:rPr>
              <w:t>1</w:t>
            </w:r>
          </w:p>
        </w:tc>
        <w:tc>
          <w:tcPr>
            <w:tcW w:w="638" w:type="dxa"/>
            <w:gridSpan w:val="2"/>
            <w:noWrap w:val="0"/>
            <w:vAlign w:val="center"/>
          </w:tcPr>
          <w:p>
            <w:pPr>
              <w:jc w:val="center"/>
            </w:pPr>
            <w:r>
              <w:rPr>
                <w:rFonts w:hint="eastAsia"/>
              </w:rPr>
              <w:t>评</w:t>
            </w:r>
          </w:p>
          <w:p>
            <w:pPr>
              <w:jc w:val="center"/>
            </w:pPr>
            <w:r>
              <w:rPr>
                <w:rFonts w:hint="eastAsia"/>
              </w:rPr>
              <w:t>标</w:t>
            </w:r>
          </w:p>
          <w:p>
            <w:pPr>
              <w:jc w:val="center"/>
            </w:pPr>
            <w:r>
              <w:rPr>
                <w:rFonts w:hint="eastAsia"/>
              </w:rPr>
              <w:t>方</w:t>
            </w:r>
          </w:p>
          <w:p>
            <w:pPr>
              <w:jc w:val="center"/>
            </w:pPr>
            <w:r>
              <w:rPr>
                <w:rFonts w:hint="eastAsia"/>
              </w:rPr>
              <w:t>法</w:t>
            </w:r>
          </w:p>
        </w:tc>
        <w:tc>
          <w:tcPr>
            <w:tcW w:w="7532" w:type="dxa"/>
            <w:gridSpan w:val="2"/>
            <w:noWrap w:val="0"/>
            <w:vAlign w:val="center"/>
          </w:tcPr>
          <w:p>
            <w:pPr>
              <w:spacing w:line="360" w:lineRule="auto"/>
              <w:ind w:firstLine="420" w:firstLineChars="200"/>
              <w:rPr>
                <w:rFonts w:ascii="宋体" w:hAnsi="宋体"/>
                <w:szCs w:val="21"/>
              </w:rPr>
            </w:pPr>
            <w:r>
              <w:rPr>
                <w:rFonts w:hint="eastAsia" w:ascii="宋体" w:hAnsi="宋体"/>
                <w:szCs w:val="21"/>
              </w:rPr>
              <w:t>综合评分相等时，评标委员会依次按照以下优先顺序推荐中标候选人或确定中标人：</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、信用评价等级和评价分数高者（优先选用自治区交通运输厅信用评价结果，若综合评分相等</w:t>
            </w:r>
            <w:bookmarkStart w:id="7" w:name="_GoBack"/>
            <w:bookmarkEnd w:id="7"/>
            <w:r>
              <w:rPr>
                <w:rFonts w:hint="eastAsia" w:ascii="宋体" w:hAnsi="宋体"/>
                <w:szCs w:val="21"/>
              </w:rPr>
              <w:t>的投标人均未在自治区交通运输厅参评，则以交通运输部信用评价结果为准）；</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、报价较低者；</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、近5年内在西藏自治区交通运输厅从业项目数多者（以投标文件载明的业绩为准）；</w:t>
            </w:r>
          </w:p>
          <w:p>
            <w:pPr>
              <w:spacing w:line="360" w:lineRule="auto"/>
              <w:ind w:firstLine="420" w:firstLineChars="200"/>
              <w:rPr>
                <w:rFonts w:hint="eastAsia" w:ascii="宋体" w:hAnsi="宋体"/>
                <w:szCs w:val="21"/>
              </w:rPr>
            </w:pPr>
            <w:r>
              <w:rPr>
                <w:rFonts w:ascii="宋体" w:hAnsi="宋体"/>
                <w:szCs w:val="21"/>
              </w:rPr>
              <w:t>4</w:t>
            </w:r>
            <w:r>
              <w:rPr>
                <w:rFonts w:hint="eastAsia" w:ascii="宋体" w:hAnsi="宋体"/>
                <w:szCs w:val="21"/>
              </w:rPr>
              <w:t>、上一年度现金流量高的投标人优先。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blHeader/>
          <w:jc w:val="center"/>
        </w:trPr>
        <w:tc>
          <w:tcPr>
            <w:tcW w:w="1489" w:type="dxa"/>
            <w:gridSpan w:val="3"/>
            <w:noWrap w:val="0"/>
            <w:vAlign w:val="center"/>
          </w:tcPr>
          <w:p>
            <w:pPr>
              <w:jc w:val="center"/>
            </w:pPr>
            <w:r>
              <w:t>条款号</w:t>
            </w:r>
          </w:p>
        </w:tc>
        <w:tc>
          <w:tcPr>
            <w:tcW w:w="2654" w:type="dxa"/>
            <w:noWrap w:val="0"/>
            <w:vAlign w:val="center"/>
          </w:tcPr>
          <w:p>
            <w:pPr>
              <w:jc w:val="center"/>
            </w:pPr>
            <w:r>
              <w:t>评审因素</w:t>
            </w:r>
          </w:p>
        </w:tc>
        <w:tc>
          <w:tcPr>
            <w:tcW w:w="4878" w:type="dxa"/>
            <w:noWrap w:val="0"/>
            <w:vAlign w:val="center"/>
          </w:tcPr>
          <w:p>
            <w:pPr>
              <w:jc w:val="center"/>
            </w:pPr>
            <w: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restart"/>
            <w:noWrap w:val="0"/>
            <w:vAlign w:val="center"/>
          </w:tcPr>
          <w:p>
            <w:pPr>
              <w:jc w:val="center"/>
            </w:pPr>
            <w:r>
              <w:t>2.1.1</w:t>
            </w:r>
          </w:p>
          <w:p>
            <w:pPr>
              <w:jc w:val="center"/>
            </w:pPr>
          </w:p>
        </w:tc>
        <w:tc>
          <w:tcPr>
            <w:tcW w:w="614" w:type="dxa"/>
            <w:vMerge w:val="restart"/>
            <w:noWrap w:val="0"/>
            <w:vAlign w:val="center"/>
          </w:tcPr>
          <w:p>
            <w:pPr>
              <w:jc w:val="center"/>
            </w:pPr>
            <w:r>
              <w:rPr>
                <w:rFonts w:hint="eastAsia"/>
              </w:rPr>
              <w:t>形式评审</w:t>
            </w:r>
            <w:r>
              <w:rPr>
                <w:rFonts w:hint="eastAsia"/>
                <w:lang w:eastAsia="zh-CN"/>
              </w:rPr>
              <w:t>、</w:t>
            </w:r>
            <w:r>
              <w:rPr>
                <w:rFonts w:hint="eastAsia"/>
                <w:lang w:val="en-US" w:eastAsia="zh-CN"/>
              </w:rPr>
              <w:t>资格评审</w:t>
            </w:r>
            <w:r>
              <w:rPr>
                <w:rFonts w:hint="eastAsia"/>
              </w:rPr>
              <w:t>与响应性评审标准</w:t>
            </w:r>
          </w:p>
          <w:p>
            <w:pPr>
              <w:jc w:val="center"/>
            </w:pPr>
          </w:p>
        </w:tc>
        <w:tc>
          <w:tcPr>
            <w:tcW w:w="2654" w:type="dxa"/>
            <w:noWrap w:val="0"/>
            <w:vAlign w:val="center"/>
          </w:tcPr>
          <w:p>
            <w:pPr>
              <w:ind w:left="21" w:leftChars="10"/>
              <w:jc w:val="center"/>
            </w:pPr>
            <w:r>
              <w:rPr>
                <w:rFonts w:hint="eastAsia"/>
              </w:rPr>
              <w:t>投标函填写</w:t>
            </w:r>
          </w:p>
        </w:tc>
        <w:tc>
          <w:tcPr>
            <w:tcW w:w="4878" w:type="dxa"/>
            <w:noWrap w:val="0"/>
            <w:vAlign w:val="center"/>
          </w:tcPr>
          <w:p>
            <w:pPr>
              <w:ind w:left="15" w:leftChars="7"/>
            </w:pPr>
            <w:r>
              <w:rPr>
                <w:rFonts w:hint="eastAsia"/>
              </w:rPr>
              <w:t>按招标文件规定填报了正确的项目名称、补遗书编号（如有）、投标报价、服务期限、质量要求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文件填写及组成</w:t>
            </w:r>
          </w:p>
        </w:tc>
        <w:tc>
          <w:tcPr>
            <w:tcW w:w="4878" w:type="dxa"/>
            <w:noWrap w:val="0"/>
            <w:vAlign w:val="center"/>
          </w:tcPr>
          <w:p>
            <w:pPr>
              <w:ind w:left="15" w:leftChars="7"/>
            </w:pPr>
            <w:r>
              <w:rPr>
                <w:rFonts w:hint="eastAsia"/>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文件签字盖章</w:t>
            </w:r>
          </w:p>
        </w:tc>
        <w:tc>
          <w:tcPr>
            <w:tcW w:w="4878" w:type="dxa"/>
            <w:noWrap w:val="0"/>
            <w:vAlign w:val="center"/>
          </w:tcPr>
          <w:p>
            <w:pPr>
              <w:ind w:left="15" w:leftChars="7"/>
            </w:pPr>
            <w:r>
              <w:rPr>
                <w:rFonts w:hint="eastAsia"/>
              </w:rPr>
              <w:t>第六章“投标文件格式”中明确要求投标人法定代表人签字之处，投标人必须加盖法定代表人电子签章；明确要求加盖单位章之处，投标人必须加盖投标人单位电子公章。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投标保证金</w:t>
            </w:r>
          </w:p>
        </w:tc>
        <w:tc>
          <w:tcPr>
            <w:tcW w:w="4878" w:type="dxa"/>
            <w:noWrap w:val="0"/>
            <w:vAlign w:val="center"/>
          </w:tcPr>
          <w:p>
            <w:pPr>
              <w:ind w:left="15" w:leftChars="7"/>
            </w:pPr>
            <w:r>
              <w:rPr>
                <w:rFonts w:hint="eastAsia"/>
              </w:rPr>
              <w:t>投标保证金的金额：</w:t>
            </w:r>
            <w:r>
              <w:t>400</w:t>
            </w:r>
            <w:r>
              <w:rPr>
                <w:rFonts w:hint="eastAsia"/>
              </w:rPr>
              <w:t>00元</w:t>
            </w:r>
          </w:p>
          <w:p>
            <w:pPr>
              <w:ind w:left="15" w:leftChars="7"/>
            </w:pPr>
            <w:r>
              <w:rPr>
                <w:rFonts w:hint="eastAsia"/>
              </w:rPr>
              <w:t>投标保证金的形式：现金转账或电汇或银行保函或保单保函。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投标文件备选方案</w:t>
            </w:r>
          </w:p>
        </w:tc>
        <w:tc>
          <w:tcPr>
            <w:tcW w:w="4878" w:type="dxa"/>
            <w:noWrap w:val="0"/>
            <w:vAlign w:val="center"/>
          </w:tcPr>
          <w:p>
            <w:pPr>
              <w:ind w:left="15" w:leftChars="7"/>
            </w:pPr>
            <w:r>
              <w:rPr>
                <w:rFonts w:hint="eastAsia" w:ascii="宋体" w:hAnsi="宋体"/>
                <w:szCs w:val="21"/>
              </w:rPr>
              <w:t>同一投标人同一标段未提交两个以上不同的投标文件，但招标文件要求提交备选投标的除外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投标报价</w:t>
            </w:r>
          </w:p>
        </w:tc>
        <w:tc>
          <w:tcPr>
            <w:tcW w:w="4878" w:type="dxa"/>
            <w:noWrap w:val="0"/>
            <w:vAlign w:val="center"/>
          </w:tcPr>
          <w:p>
            <w:pPr>
              <w:ind w:left="15" w:leftChars="7"/>
            </w:pPr>
            <w:r>
              <w:rPr>
                <w:rFonts w:hint="eastAsia"/>
              </w:rPr>
              <w:t>投标人的投标总报价不得超过最高限价，各分项报价不得超过各分项限价，大写金额能够确定具体数值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投标报价唯一性</w:t>
            </w:r>
          </w:p>
        </w:tc>
        <w:tc>
          <w:tcPr>
            <w:tcW w:w="4878" w:type="dxa"/>
            <w:noWrap w:val="0"/>
            <w:vAlign w:val="center"/>
          </w:tcPr>
          <w:p>
            <w:pPr>
              <w:ind w:left="15" w:leftChars="7"/>
            </w:pPr>
            <w:r>
              <w:rPr>
                <w:rFonts w:hint="eastAsia"/>
              </w:rPr>
              <w:t>同一投标人未提交两个以上不同的投标报价，但招标文件要求提交备选投标的除外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rPr>
                <w:rFonts w:hint="eastAsia"/>
              </w:rPr>
              <w:t>服务期限</w:t>
            </w:r>
          </w:p>
        </w:tc>
        <w:tc>
          <w:tcPr>
            <w:tcW w:w="4878" w:type="dxa"/>
            <w:noWrap w:val="0"/>
            <w:vAlign w:val="center"/>
          </w:tcPr>
          <w:p>
            <w:pPr>
              <w:ind w:left="15" w:leftChars="7"/>
            </w:pPr>
            <w:r>
              <w:rPr>
                <w:rFonts w:hint="eastAsia"/>
                <w:szCs w:val="21"/>
              </w:rPr>
              <w:t>自签订合同之日起至竣工环境保护验收为止（具体以签订合同为准）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3"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pPr>
            <w:r>
              <w:t>质量</w:t>
            </w:r>
            <w:r>
              <w:rPr>
                <w:rFonts w:hint="eastAsia"/>
              </w:rPr>
              <w:t>要求</w:t>
            </w:r>
          </w:p>
        </w:tc>
        <w:tc>
          <w:tcPr>
            <w:tcW w:w="4878" w:type="dxa"/>
            <w:noWrap w:val="0"/>
            <w:vAlign w:val="center"/>
          </w:tcPr>
          <w:p>
            <w:pPr>
              <w:ind w:left="15" w:leftChars="7"/>
            </w:pPr>
            <w:r>
              <w:rPr>
                <w:rFonts w:hint="eastAsia"/>
              </w:rPr>
              <w:t>符合国家、地方及行业技术标准、规范和指标要求，满足竣工环境保护专项验收需求，并通过行业主管部门的审批及备案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21" w:leftChars="10"/>
              <w:jc w:val="center"/>
              <w:rPr>
                <w:lang w:bidi="en-US"/>
              </w:rPr>
            </w:pPr>
            <w:r>
              <w:rPr>
                <w:rFonts w:hint="eastAsia"/>
              </w:rPr>
              <w:t>联合体投标（适用于联合体投标的情形）</w:t>
            </w:r>
          </w:p>
        </w:tc>
        <w:tc>
          <w:tcPr>
            <w:tcW w:w="4878" w:type="dxa"/>
            <w:noWrap w:val="0"/>
            <w:vAlign w:val="center"/>
          </w:tcPr>
          <w:p>
            <w:pPr>
              <w:ind w:left="15" w:leftChars="7"/>
              <w:rPr>
                <w:lang w:bidi="en-US"/>
              </w:rPr>
            </w:pPr>
            <w:r>
              <w:rPr>
                <w:rFonts w:hint="eastAsia"/>
                <w:lang w:bidi="en-US"/>
              </w:rPr>
              <w:t>联合体投标符合招标文件规定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ind w:left="105" w:leftChars="50"/>
              <w:jc w:val="center"/>
            </w:pPr>
            <w:r>
              <w:rPr>
                <w:rFonts w:hint="eastAsia"/>
              </w:rPr>
              <w:t>投标函中其他补充说明内容</w:t>
            </w:r>
          </w:p>
        </w:tc>
        <w:tc>
          <w:tcPr>
            <w:tcW w:w="4878" w:type="dxa"/>
            <w:noWrap w:val="0"/>
            <w:vAlign w:val="center"/>
          </w:tcPr>
          <w:p>
            <w:pPr>
              <w:ind w:left="212" w:leftChars="101"/>
            </w:pPr>
            <w:r>
              <w:rPr>
                <w:rFonts w:hint="eastAsia"/>
              </w:rPr>
              <w:t>无招标人不能接受的条件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jc w:val="center"/>
            </w:pPr>
            <w:r>
              <w:rPr>
                <w:rFonts w:hint="eastAsia" w:ascii="宋体" w:hAnsi="宋体"/>
                <w:szCs w:val="21"/>
              </w:rPr>
              <w:t>权利义务符合招标文件规定</w:t>
            </w:r>
          </w:p>
        </w:tc>
        <w:tc>
          <w:tcPr>
            <w:tcW w:w="4878" w:type="dxa"/>
            <w:noWrap w:val="0"/>
            <w:vAlign w:val="center"/>
          </w:tcPr>
          <w:p>
            <w:pPr>
              <w:spacing w:line="300" w:lineRule="exact"/>
              <w:ind w:firstLine="239" w:firstLineChars="114"/>
              <w:rPr>
                <w:rFonts w:ascii="宋体" w:hAnsi="宋体"/>
                <w:szCs w:val="21"/>
              </w:rPr>
            </w:pPr>
            <w:r>
              <w:rPr>
                <w:rFonts w:hint="eastAsia" w:ascii="宋体" w:hAnsi="宋体"/>
                <w:szCs w:val="21"/>
              </w:rPr>
              <w:t>a.投标人应接受招标文件规定的风险划分原则，未提出新的风险划分办法；</w:t>
            </w:r>
          </w:p>
          <w:p>
            <w:pPr>
              <w:spacing w:line="300" w:lineRule="exact"/>
              <w:ind w:firstLine="239" w:firstLineChars="114"/>
              <w:rPr>
                <w:rFonts w:ascii="宋体" w:hAnsi="宋体"/>
                <w:szCs w:val="21"/>
              </w:rPr>
            </w:pPr>
            <w:r>
              <w:rPr>
                <w:rFonts w:hint="eastAsia" w:ascii="宋体" w:hAnsi="宋体"/>
                <w:szCs w:val="21"/>
              </w:rPr>
              <w:t>b.投标人未增加委托人的责任范围，或减少投标人义务；</w:t>
            </w:r>
          </w:p>
          <w:p>
            <w:pPr>
              <w:spacing w:line="300" w:lineRule="exact"/>
              <w:ind w:firstLine="239" w:firstLineChars="114"/>
              <w:rPr>
                <w:rFonts w:ascii="宋体" w:hAnsi="宋体"/>
                <w:szCs w:val="21"/>
              </w:rPr>
            </w:pPr>
            <w:r>
              <w:rPr>
                <w:rFonts w:hint="eastAsia" w:ascii="宋体" w:hAnsi="宋体"/>
                <w:szCs w:val="21"/>
              </w:rPr>
              <w:t>c.投标人未提出不同的支付办法；</w:t>
            </w:r>
          </w:p>
          <w:p>
            <w:pPr>
              <w:spacing w:line="300" w:lineRule="exact"/>
              <w:ind w:firstLine="239" w:firstLineChars="114"/>
              <w:rPr>
                <w:rFonts w:ascii="宋体" w:hAnsi="宋体"/>
                <w:szCs w:val="21"/>
              </w:rPr>
            </w:pPr>
            <w:r>
              <w:rPr>
                <w:rFonts w:hint="eastAsia" w:ascii="宋体" w:hAnsi="宋体"/>
                <w:szCs w:val="21"/>
              </w:rPr>
              <w:t>d.投标人对合同纠纷、事故处理办法未提出异议；</w:t>
            </w:r>
          </w:p>
          <w:p>
            <w:pPr>
              <w:spacing w:line="300" w:lineRule="exact"/>
              <w:ind w:firstLine="239" w:firstLineChars="114"/>
              <w:rPr>
                <w:rFonts w:ascii="宋体" w:hAnsi="宋体"/>
                <w:szCs w:val="21"/>
              </w:rPr>
            </w:pPr>
            <w:r>
              <w:rPr>
                <w:rFonts w:hint="eastAsia" w:ascii="宋体" w:hAnsi="宋体"/>
                <w:szCs w:val="21"/>
              </w:rPr>
              <w:t>e.投标人在投标活动中无欺诈行为；</w:t>
            </w:r>
          </w:p>
          <w:p>
            <w:pPr>
              <w:ind w:firstLine="210" w:firstLineChars="100"/>
            </w:pPr>
            <w:r>
              <w:rPr>
                <w:rFonts w:hint="eastAsia" w:ascii="宋体" w:hAnsi="宋体"/>
                <w:szCs w:val="21"/>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jc w:val="center"/>
            </w:pPr>
            <w:r>
              <w:rPr>
                <w:rFonts w:hint="eastAsia"/>
              </w:rPr>
              <w:t>投标人不得存在的情形</w:t>
            </w:r>
          </w:p>
        </w:tc>
        <w:tc>
          <w:tcPr>
            <w:tcW w:w="4878" w:type="dxa"/>
            <w:noWrap w:val="0"/>
            <w:vAlign w:val="center"/>
          </w:tcPr>
          <w:p>
            <w:r>
              <w:rPr>
                <w:rFonts w:hint="eastAsia"/>
              </w:rPr>
              <w:t>投标人不得存在第二章“投标人须知”第1.4.3项或第1.4.4项规定的任何一种情形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875" w:type="dxa"/>
            <w:gridSpan w:val="2"/>
            <w:vMerge w:val="continue"/>
            <w:noWrap w:val="0"/>
            <w:vAlign w:val="center"/>
          </w:tcPr>
          <w:p>
            <w:pPr>
              <w:ind w:left="420"/>
            </w:pPr>
          </w:p>
        </w:tc>
        <w:tc>
          <w:tcPr>
            <w:tcW w:w="614" w:type="dxa"/>
            <w:vMerge w:val="continue"/>
            <w:noWrap w:val="0"/>
            <w:vAlign w:val="center"/>
          </w:tcPr>
          <w:p>
            <w:pPr>
              <w:ind w:left="420"/>
            </w:pPr>
          </w:p>
        </w:tc>
        <w:tc>
          <w:tcPr>
            <w:tcW w:w="2654" w:type="dxa"/>
            <w:noWrap w:val="0"/>
            <w:vAlign w:val="center"/>
          </w:tcPr>
          <w:p>
            <w:pPr>
              <w:jc w:val="center"/>
            </w:pPr>
            <w:r>
              <w:rPr>
                <w:rFonts w:hint="eastAsia"/>
              </w:rPr>
              <w:t>其他</w:t>
            </w:r>
          </w:p>
        </w:tc>
        <w:tc>
          <w:tcPr>
            <w:tcW w:w="4878" w:type="dxa"/>
            <w:noWrap w:val="0"/>
            <w:vAlign w:val="center"/>
          </w:tcPr>
          <w:p>
            <w:r>
              <w:rPr>
                <w:rFonts w:hint="eastAsia"/>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atLeast"/>
          <w:jc w:val="center"/>
        </w:trPr>
        <w:tc>
          <w:tcPr>
            <w:tcW w:w="875" w:type="dxa"/>
            <w:gridSpan w:val="2"/>
            <w:vMerge w:val="continue"/>
            <w:noWrap w:val="0"/>
            <w:vAlign w:val="center"/>
          </w:tcPr>
          <w:p>
            <w:pPr>
              <w:jc w:val="center"/>
            </w:pPr>
          </w:p>
        </w:tc>
        <w:tc>
          <w:tcPr>
            <w:tcW w:w="614" w:type="dxa"/>
            <w:vMerge w:val="continue"/>
            <w:noWrap w:val="0"/>
            <w:vAlign w:val="center"/>
          </w:tcPr>
          <w:p>
            <w:pPr>
              <w:jc w:val="center"/>
            </w:pPr>
          </w:p>
        </w:tc>
        <w:tc>
          <w:tcPr>
            <w:tcW w:w="2654" w:type="dxa"/>
            <w:noWrap w:val="0"/>
            <w:vAlign w:val="center"/>
          </w:tcPr>
          <w:p>
            <w:pPr>
              <w:jc w:val="center"/>
            </w:pPr>
            <w:r>
              <w:rPr>
                <w:rFonts w:hint="eastAsia"/>
              </w:rPr>
              <w:t>营业执照和开户许可证</w:t>
            </w:r>
          </w:p>
        </w:tc>
        <w:tc>
          <w:tcPr>
            <w:tcW w:w="4878" w:type="dxa"/>
            <w:noWrap w:val="0"/>
            <w:vAlign w:val="center"/>
          </w:tcPr>
          <w:p>
            <w:r>
              <w:t>具备有效的</w:t>
            </w:r>
            <w:r>
              <w:rPr>
                <w:rFonts w:hint="eastAsia"/>
              </w:rPr>
              <w:t>营业执照和开户许可证（或基本存款账户信息）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0" w:hRule="atLeast"/>
          <w:jc w:val="center"/>
        </w:trPr>
        <w:tc>
          <w:tcPr>
            <w:tcW w:w="875" w:type="dxa"/>
            <w:gridSpan w:val="2"/>
            <w:vMerge w:val="continue"/>
            <w:noWrap w:val="0"/>
            <w:vAlign w:val="center"/>
          </w:tcPr>
          <w:p/>
        </w:tc>
        <w:tc>
          <w:tcPr>
            <w:tcW w:w="614" w:type="dxa"/>
            <w:vMerge w:val="continue"/>
            <w:noWrap w:val="0"/>
            <w:vAlign w:val="center"/>
          </w:tcPr>
          <w:p>
            <w:pPr>
              <w:jc w:val="center"/>
            </w:pPr>
          </w:p>
        </w:tc>
        <w:tc>
          <w:tcPr>
            <w:tcW w:w="2654" w:type="dxa"/>
            <w:noWrap w:val="0"/>
            <w:vAlign w:val="center"/>
          </w:tcPr>
          <w:p>
            <w:pPr>
              <w:jc w:val="center"/>
            </w:pPr>
            <w:r>
              <w:t>资质</w:t>
            </w:r>
            <w:r>
              <w:rPr>
                <w:rFonts w:hint="eastAsia"/>
              </w:rPr>
              <w:t>要求</w:t>
            </w:r>
          </w:p>
        </w:tc>
        <w:tc>
          <w:tcPr>
            <w:tcW w:w="4878" w:type="dxa"/>
            <w:noWrap w:val="0"/>
            <w:vAlign w:val="center"/>
          </w:tcPr>
          <w:p>
            <w:r>
              <w:rPr>
                <w:rFonts w:hint="eastAsia"/>
                <w:szCs w:val="21"/>
              </w:rPr>
              <w:t>本次招标要求投标人须持有工商行政管理部门核发的有效企业法人营业执照或事业单位法人证书，并在人员、资金、设备方面具有相应的服务能力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3" w:hRule="atLeast"/>
          <w:jc w:val="center"/>
        </w:trPr>
        <w:tc>
          <w:tcPr>
            <w:tcW w:w="875" w:type="dxa"/>
            <w:gridSpan w:val="2"/>
            <w:vMerge w:val="continue"/>
            <w:noWrap w:val="0"/>
            <w:vAlign w:val="center"/>
          </w:tcPr>
          <w:p/>
        </w:tc>
        <w:tc>
          <w:tcPr>
            <w:tcW w:w="614" w:type="dxa"/>
            <w:vMerge w:val="continue"/>
            <w:noWrap w:val="0"/>
            <w:vAlign w:val="center"/>
          </w:tcPr>
          <w:p>
            <w:pPr>
              <w:jc w:val="center"/>
            </w:pPr>
          </w:p>
        </w:tc>
        <w:tc>
          <w:tcPr>
            <w:tcW w:w="2654" w:type="dxa"/>
            <w:noWrap w:val="0"/>
            <w:vAlign w:val="center"/>
          </w:tcPr>
          <w:p>
            <w:pPr>
              <w:jc w:val="center"/>
            </w:pPr>
            <w:r>
              <w:rPr>
                <w:rFonts w:hint="eastAsia"/>
              </w:rPr>
              <w:t>业绩要求</w:t>
            </w:r>
          </w:p>
        </w:tc>
        <w:tc>
          <w:tcPr>
            <w:tcW w:w="4878" w:type="dxa"/>
            <w:noWrap w:val="0"/>
            <w:vAlign w:val="center"/>
          </w:tcPr>
          <w:p>
            <w:r>
              <w:rPr>
                <w:rFonts w:hint="eastAsia" w:ascii="宋体" w:hAnsi="宋体" w:cs="宋体"/>
                <w:kern w:val="0"/>
                <w:szCs w:val="21"/>
              </w:rPr>
              <w:t>投标人近五年（201</w:t>
            </w:r>
            <w:r>
              <w:rPr>
                <w:rFonts w:ascii="宋体" w:hAnsi="宋体" w:cs="宋体"/>
                <w:kern w:val="0"/>
                <w:szCs w:val="21"/>
              </w:rPr>
              <w:t>8</w:t>
            </w:r>
            <w:r>
              <w:rPr>
                <w:rFonts w:hint="eastAsia" w:ascii="宋体" w:hAnsi="宋体" w:cs="宋体"/>
                <w:kern w:val="0"/>
                <w:szCs w:val="21"/>
              </w:rPr>
              <w:t>年1月1日至招标公告发布前一日）独立完成过</w:t>
            </w:r>
            <w:r>
              <w:rPr>
                <w:rFonts w:ascii="宋体" w:hAnsi="宋体" w:cs="宋体"/>
                <w:kern w:val="0"/>
                <w:szCs w:val="21"/>
              </w:rPr>
              <w:t>2</w:t>
            </w:r>
            <w:r>
              <w:rPr>
                <w:rFonts w:hint="eastAsia" w:ascii="宋体" w:hAnsi="宋体" w:cs="宋体"/>
                <w:kern w:val="0"/>
                <w:szCs w:val="21"/>
              </w:rPr>
              <w:t>项公路工程</w:t>
            </w:r>
            <w:r>
              <w:rPr>
                <w:rFonts w:hint="eastAsia" w:ascii="宋体" w:hAnsi="宋体"/>
                <w:szCs w:val="21"/>
              </w:rPr>
              <w:t>竣工环境保护验收</w:t>
            </w:r>
            <w:r>
              <w:rPr>
                <w:rFonts w:hint="eastAsia" w:ascii="宋体" w:hAnsi="宋体" w:cs="宋体"/>
                <w:kern w:val="0"/>
                <w:szCs w:val="21"/>
              </w:rPr>
              <w:t>业绩（以专项验收时间为准）。业绩证明需提供行业主管部门网站中查询业绩的网页截图复印件。网站不能查询的，须提供中标通知书或合同协议书或业主证明材料以及专项验收证明，若投标人提供的网页截图信息或其他业绩证明材料无法证实该项目业绩，则该业绩不予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noWrap w:val="0"/>
            <w:vAlign w:val="center"/>
          </w:tcPr>
          <w:p/>
        </w:tc>
        <w:tc>
          <w:tcPr>
            <w:tcW w:w="614" w:type="dxa"/>
            <w:vMerge w:val="continue"/>
            <w:noWrap w:val="0"/>
            <w:vAlign w:val="center"/>
          </w:tcPr>
          <w:p>
            <w:pPr>
              <w:jc w:val="center"/>
            </w:pPr>
          </w:p>
        </w:tc>
        <w:tc>
          <w:tcPr>
            <w:tcW w:w="2654" w:type="dxa"/>
            <w:noWrap w:val="0"/>
            <w:vAlign w:val="center"/>
          </w:tcPr>
          <w:p>
            <w:pPr>
              <w:jc w:val="center"/>
            </w:pPr>
            <w:r>
              <w:t>信誉</w:t>
            </w:r>
            <w:r>
              <w:rPr>
                <w:rFonts w:hint="eastAsia"/>
              </w:rPr>
              <w:t>要求</w:t>
            </w:r>
          </w:p>
        </w:tc>
        <w:tc>
          <w:tcPr>
            <w:tcW w:w="4878" w:type="dxa"/>
            <w:noWrap w:val="0"/>
            <w:vAlign w:val="center"/>
          </w:tcPr>
          <w:p>
            <w:pPr>
              <w:rPr>
                <w:rFonts w:hint="eastAsia"/>
              </w:rPr>
            </w:pPr>
            <w:r>
              <w:rPr>
                <w:rFonts w:hint="eastAsia"/>
              </w:rPr>
              <w:t>1、在“信用中国”网站（http：//www.creditchina.gov.cn/）中被列入失信被执行人名单的投标人，不得参加投标；</w:t>
            </w:r>
          </w:p>
          <w:p>
            <w:pPr>
              <w:rPr>
                <w:rFonts w:hint="eastAsia"/>
              </w:rPr>
            </w:pPr>
            <w:r>
              <w:rPr>
                <w:rFonts w:hint="eastAsia"/>
              </w:rPr>
              <w:t>2、在国家企业信用信息公示系统（http://www.gsxt.gov.cn/）中被列入严重违法失信企业名单的投标人，不得参加投标；</w:t>
            </w:r>
          </w:p>
          <w:p>
            <w:pPr>
              <w:rPr>
                <w:rFonts w:hint="eastAsia"/>
              </w:rPr>
            </w:pPr>
            <w:r>
              <w:rPr>
                <w:rFonts w:hint="eastAsia"/>
              </w:rPr>
              <w:t>3、被西藏自治区交通运输厅和相关行业主管部门列入从业禁止名单的投标人不得参加投标；（提供相关网页截图或承诺）</w:t>
            </w:r>
          </w:p>
          <w:p>
            <w:pPr>
              <w:rPr>
                <w:rFonts w:hint="eastAsia"/>
              </w:rPr>
            </w:pPr>
            <w:r>
              <w:rPr>
                <w:rFonts w:hint="eastAsia"/>
              </w:rPr>
              <w:t>4、2020年1月1日至今，没有因自身原因出现失误或失职，造成不良影响的。（提供承诺书）</w:t>
            </w:r>
          </w:p>
          <w:p>
            <w:pPr>
              <w:rPr>
                <w:rFonts w:hint="eastAsia"/>
              </w:rPr>
            </w:pPr>
            <w:r>
              <w:rPr>
                <w:rFonts w:hint="eastAsia"/>
              </w:rPr>
              <w:t>5、本次招标要求投标单位、投标单位法定代表人、项目负责人近三年内不得存在行贿犯罪记录（投标人可在裁判文书网上进行查询并附查询网页截图）。</w:t>
            </w:r>
          </w:p>
          <w:p>
            <w:r>
              <w:rPr>
                <w:rFonts w:hint="eastAsia"/>
              </w:rPr>
              <w:t>注：投标人如未如实填报，一经查实，取消投标资格。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875" w:type="dxa"/>
            <w:gridSpan w:val="2"/>
            <w:vMerge w:val="continue"/>
            <w:noWrap w:val="0"/>
            <w:vAlign w:val="center"/>
          </w:tcPr>
          <w:p/>
        </w:tc>
        <w:tc>
          <w:tcPr>
            <w:tcW w:w="614" w:type="dxa"/>
            <w:vMerge w:val="continue"/>
            <w:noWrap w:val="0"/>
            <w:vAlign w:val="center"/>
          </w:tcPr>
          <w:p>
            <w:pPr>
              <w:jc w:val="center"/>
            </w:pPr>
          </w:p>
        </w:tc>
        <w:tc>
          <w:tcPr>
            <w:tcW w:w="2654" w:type="dxa"/>
            <w:noWrap w:val="0"/>
            <w:vAlign w:val="center"/>
          </w:tcPr>
          <w:p>
            <w:pPr>
              <w:jc w:val="center"/>
            </w:pPr>
            <w:r>
              <w:rPr>
                <w:rFonts w:hint="eastAsia" w:ascii="宋体" w:hAnsi="宋体"/>
                <w:szCs w:val="21"/>
              </w:rPr>
              <w:t>项目负责人要求</w:t>
            </w:r>
          </w:p>
        </w:tc>
        <w:tc>
          <w:tcPr>
            <w:tcW w:w="4878" w:type="dxa"/>
            <w:noWrap w:val="0"/>
            <w:vAlign w:val="center"/>
          </w:tcPr>
          <w:p>
            <w:r>
              <w:rPr>
                <w:rFonts w:hint="eastAsia"/>
                <w:szCs w:val="21"/>
              </w:rPr>
              <w:t>拟委任本项目的项目负责人应在环境影响评价信用平台注册，具备注册环境影响评价工程师资格；项目负责人须提供2022年至今连续12个月由社保机构出具的社保缴纳证明（包含医疗、工伤、养老），社保系统改革的省份，医疗、工伤保险可由其他相关系统打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875" w:type="dxa"/>
            <w:gridSpan w:val="2"/>
            <w:vMerge w:val="continue"/>
            <w:noWrap w:val="0"/>
            <w:vAlign w:val="center"/>
          </w:tcPr>
          <w:p/>
        </w:tc>
        <w:tc>
          <w:tcPr>
            <w:tcW w:w="614" w:type="dxa"/>
            <w:vMerge w:val="continue"/>
            <w:noWrap w:val="0"/>
            <w:vAlign w:val="center"/>
          </w:tcPr>
          <w:p>
            <w:pPr>
              <w:jc w:val="center"/>
            </w:pPr>
          </w:p>
        </w:tc>
        <w:tc>
          <w:tcPr>
            <w:tcW w:w="2654" w:type="dxa"/>
            <w:noWrap w:val="0"/>
            <w:vAlign w:val="center"/>
          </w:tcPr>
          <w:p>
            <w:pPr>
              <w:jc w:val="center"/>
              <w:rPr>
                <w:rFonts w:ascii="宋体" w:hAnsi="宋体"/>
                <w:szCs w:val="21"/>
              </w:rPr>
            </w:pPr>
            <w:r>
              <w:rPr>
                <w:rFonts w:hint="eastAsia"/>
              </w:rPr>
              <w:t>财务要求</w:t>
            </w:r>
          </w:p>
        </w:tc>
        <w:tc>
          <w:tcPr>
            <w:tcW w:w="4878" w:type="dxa"/>
            <w:noWrap w:val="0"/>
            <w:vAlign w:val="center"/>
          </w:tcPr>
          <w:p>
            <w:r>
              <w:rPr>
                <w:rFonts w:hint="eastAsia"/>
              </w:rPr>
              <w:t>投标人须提供企业近三年（2020-2022年度，若企业成立不足三年则提供成立以来的财务报表）的由会计师事务所或审计机构审计的财务会计报表（包括资产负债表、现金流量表、利润表和报表附注），近三年经审计的每年度财务报表中流动资产与流动负债比率大于1。</w:t>
            </w:r>
          </w:p>
        </w:tc>
      </w:tr>
    </w:tbl>
    <w:p>
      <w:pPr>
        <w:pStyle w:val="3"/>
        <w:spacing w:line="500" w:lineRule="exact"/>
        <w:rPr>
          <w:rFonts w:ascii="宋体" w:hAnsi="宋体" w:eastAsia="宋体"/>
          <w:b w:val="0"/>
          <w:bCs/>
        </w:rPr>
        <w:sectPr>
          <w:pgSz w:w="11910" w:h="16840"/>
          <w:pgMar w:top="1134" w:right="1134" w:bottom="1134" w:left="1134" w:header="889" w:footer="1060" w:gutter="0"/>
          <w:cols w:space="720" w:num="1"/>
        </w:sectPr>
      </w:pPr>
    </w:p>
    <w:tbl>
      <w:tblPr>
        <w:tblStyle w:val="4"/>
        <w:tblW w:w="91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 w:type="dxa"/>
          <w:bottom w:w="0" w:type="dxa"/>
          <w:right w:w="10" w:type="dxa"/>
        </w:tblCellMar>
      </w:tblPr>
      <w:tblGrid>
        <w:gridCol w:w="1095"/>
        <w:gridCol w:w="1277"/>
        <w:gridCol w:w="1353"/>
        <w:gridCol w:w="2852"/>
        <w:gridCol w:w="2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 w:type="dxa"/>
            <w:bottom w:w="0" w:type="dxa"/>
            <w:right w:w="10" w:type="dxa"/>
          </w:tblCellMar>
        </w:tblPrEx>
        <w:trPr>
          <w:jc w:val="center"/>
        </w:trPr>
        <w:tc>
          <w:tcPr>
            <w:tcW w:w="1095" w:type="dxa"/>
            <w:noWrap w:val="0"/>
            <w:vAlign w:val="center"/>
          </w:tcPr>
          <w:p>
            <w:pPr>
              <w:pStyle w:val="6"/>
              <w:wordWrap/>
              <w:spacing w:line="300" w:lineRule="exact"/>
              <w:ind w:firstLine="0" w:firstLineChars="0"/>
              <w:jc w:val="center"/>
              <w:rPr>
                <w:rFonts w:ascii="Times New Roman" w:hAnsi="Times New Roman" w:cs="Times New Roman"/>
                <w:b/>
                <w:bCs/>
                <w:color w:val="auto"/>
                <w:sz w:val="21"/>
                <w:szCs w:val="24"/>
                <w:lang w:val="en-US" w:eastAsia="zh-CN" w:bidi="en-US"/>
              </w:rPr>
            </w:pPr>
            <w:r>
              <w:rPr>
                <w:rFonts w:hint="eastAsia" w:ascii="Times New Roman" w:hAnsi="Times New Roman" w:cs="Times New Roman"/>
                <w:b/>
                <w:bCs/>
                <w:color w:val="auto"/>
                <w:sz w:val="21"/>
                <w:szCs w:val="24"/>
                <w:lang w:val="en-US" w:eastAsia="zh-CN" w:bidi="en-US"/>
              </w:rPr>
              <w:t>条款号</w:t>
            </w:r>
          </w:p>
        </w:tc>
        <w:tc>
          <w:tcPr>
            <w:tcW w:w="1277" w:type="dxa"/>
            <w:noWrap w:val="0"/>
            <w:vAlign w:val="center"/>
          </w:tcPr>
          <w:p>
            <w:pPr>
              <w:pStyle w:val="6"/>
              <w:wordWrap/>
              <w:spacing w:line="300" w:lineRule="exact"/>
              <w:ind w:firstLine="0" w:firstLineChars="0"/>
              <w:jc w:val="center"/>
              <w:rPr>
                <w:rFonts w:ascii="Times New Roman" w:hAnsi="Times New Roman"/>
                <w:b/>
                <w:bCs/>
                <w:color w:val="auto"/>
                <w:sz w:val="21"/>
                <w:szCs w:val="24"/>
                <w:lang w:val="en-US" w:eastAsia="zh-CN"/>
              </w:rPr>
            </w:pPr>
            <w:r>
              <w:rPr>
                <w:rFonts w:hint="eastAsia" w:ascii="Times New Roman" w:hAnsi="Times New Roman"/>
                <w:b/>
                <w:bCs/>
                <w:color w:val="auto"/>
                <w:sz w:val="21"/>
                <w:szCs w:val="24"/>
                <w:lang w:val="en-US" w:eastAsia="zh-CN"/>
              </w:rPr>
              <w:t>条款内容</w:t>
            </w:r>
          </w:p>
        </w:tc>
        <w:tc>
          <w:tcPr>
            <w:tcW w:w="6735" w:type="dxa"/>
            <w:gridSpan w:val="3"/>
            <w:noWrap w:val="0"/>
            <w:vAlign w:val="center"/>
          </w:tcPr>
          <w:p>
            <w:pPr>
              <w:pStyle w:val="6"/>
              <w:tabs>
                <w:tab w:val="left" w:leader="underscore" w:pos="2602"/>
              </w:tabs>
              <w:wordWrap/>
              <w:spacing w:line="300" w:lineRule="exact"/>
              <w:ind w:firstLine="0" w:firstLineChars="0"/>
              <w:jc w:val="center"/>
              <w:rPr>
                <w:rFonts w:ascii="Times New Roman" w:hAnsi="Times New Roman"/>
                <w:b/>
                <w:bCs/>
                <w:color w:val="auto"/>
                <w:sz w:val="21"/>
                <w:szCs w:val="24"/>
                <w:lang w:val="en-US" w:eastAsia="zh-CN"/>
              </w:rPr>
            </w:pPr>
            <w:r>
              <w:rPr>
                <w:rFonts w:hint="eastAsia" w:ascii="Times New Roman" w:hAnsi="Times New Roman"/>
                <w:b/>
                <w:bCs/>
                <w:color w:val="auto"/>
                <w:sz w:val="21"/>
                <w:szCs w:val="24"/>
                <w:lang w:val="en-US" w:eastAsia="zh-CN"/>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 w:type="dxa"/>
            <w:bottom w:w="0" w:type="dxa"/>
            <w:right w:w="10" w:type="dxa"/>
          </w:tblCellMar>
        </w:tblPrEx>
        <w:trPr>
          <w:jc w:val="center"/>
        </w:trPr>
        <w:tc>
          <w:tcPr>
            <w:tcW w:w="1095"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s="Times New Roman"/>
                <w:color w:val="auto"/>
                <w:sz w:val="21"/>
                <w:szCs w:val="24"/>
                <w:lang w:val="en-US" w:eastAsia="en-US" w:bidi="en-US"/>
              </w:rPr>
              <w:t>2.2.1</w:t>
            </w:r>
          </w:p>
        </w:tc>
        <w:tc>
          <w:tcPr>
            <w:tcW w:w="1277" w:type="dxa"/>
            <w:noWrap w:val="0"/>
            <w:vAlign w:val="center"/>
          </w:tcPr>
          <w:p>
            <w:pPr>
              <w:spacing w:line="300" w:lineRule="exact"/>
              <w:jc w:val="center"/>
            </w:pPr>
            <w:r>
              <w:t>分值构成（总分100分）</w:t>
            </w:r>
          </w:p>
        </w:tc>
        <w:tc>
          <w:tcPr>
            <w:tcW w:w="6735" w:type="dxa"/>
            <w:gridSpan w:val="3"/>
            <w:noWrap w:val="0"/>
            <w:vAlign w:val="center"/>
          </w:tcPr>
          <w:p>
            <w:pPr>
              <w:pStyle w:val="6"/>
              <w:tabs>
                <w:tab w:val="left" w:leader="underscore" w:pos="2386"/>
              </w:tabs>
              <w:wordWrap/>
              <w:spacing w:line="280" w:lineRule="exact"/>
              <w:ind w:firstLine="0" w:firstLineChars="0"/>
              <w:rPr>
                <w:rFonts w:ascii="Times New Roman" w:hAnsi="Times New Roman"/>
                <w:color w:val="auto"/>
                <w:sz w:val="21"/>
                <w:szCs w:val="24"/>
                <w:lang w:eastAsia="zh-CN"/>
              </w:rPr>
            </w:pPr>
            <w:r>
              <w:rPr>
                <w:rFonts w:ascii="Times New Roman" w:hAnsi="Times New Roman"/>
                <w:b/>
                <w:color w:val="auto"/>
                <w:sz w:val="21"/>
                <w:szCs w:val="24"/>
              </w:rPr>
              <w:t>评分分值构成</w:t>
            </w:r>
            <w:r>
              <w:rPr>
                <w:rFonts w:ascii="Times New Roman" w:hAnsi="Times New Roman"/>
                <w:color w:val="auto"/>
                <w:sz w:val="21"/>
                <w:szCs w:val="24"/>
              </w:rPr>
              <w:t>：</w:t>
            </w:r>
          </w:p>
          <w:p>
            <w:pPr>
              <w:pStyle w:val="6"/>
              <w:tabs>
                <w:tab w:val="left" w:leader="underscore" w:pos="2386"/>
              </w:tabs>
              <w:wordWrap/>
              <w:spacing w:line="280" w:lineRule="exact"/>
              <w:ind w:firstLine="0" w:firstLineChars="0"/>
              <w:rPr>
                <w:rFonts w:ascii="Times New Roman" w:hAnsi="Times New Roman"/>
                <w:color w:val="auto"/>
                <w:sz w:val="21"/>
                <w:szCs w:val="24"/>
              </w:rPr>
            </w:pPr>
            <w:r>
              <w:rPr>
                <w:rFonts w:ascii="Times New Roman" w:hAnsi="Times New Roman"/>
                <w:color w:val="auto"/>
                <w:sz w:val="21"/>
                <w:szCs w:val="24"/>
              </w:rPr>
              <w:t>技术建议书：</w:t>
            </w:r>
            <w:r>
              <w:rPr>
                <w:rFonts w:ascii="Times New Roman" w:hAnsi="Times New Roman"/>
                <w:color w:val="auto"/>
                <w:sz w:val="21"/>
                <w:szCs w:val="24"/>
                <w:lang w:val="en-US" w:eastAsia="zh-CN"/>
              </w:rPr>
              <w:t>0</w:t>
            </w:r>
            <w:r>
              <w:rPr>
                <w:rFonts w:ascii="Times New Roman" w:hAnsi="Times New Roman"/>
                <w:color w:val="auto"/>
                <w:sz w:val="21"/>
                <w:szCs w:val="24"/>
              </w:rPr>
              <w:t>分</w:t>
            </w:r>
          </w:p>
          <w:p>
            <w:pPr>
              <w:pStyle w:val="6"/>
              <w:tabs>
                <w:tab w:val="left" w:leader="underscore" w:pos="2173"/>
              </w:tabs>
              <w:wordWrap/>
              <w:spacing w:line="280" w:lineRule="exact"/>
              <w:ind w:firstLine="0" w:firstLineChars="0"/>
              <w:rPr>
                <w:rFonts w:ascii="Times New Roman" w:hAnsi="Times New Roman"/>
                <w:color w:val="auto"/>
                <w:sz w:val="21"/>
                <w:szCs w:val="24"/>
              </w:rPr>
            </w:pPr>
            <w:r>
              <w:rPr>
                <w:rFonts w:ascii="Times New Roman" w:hAnsi="Times New Roman"/>
                <w:color w:val="auto"/>
                <w:sz w:val="21"/>
                <w:szCs w:val="24"/>
              </w:rPr>
              <w:t>主要人员：</w:t>
            </w:r>
            <w:r>
              <w:rPr>
                <w:rFonts w:ascii="Times New Roman" w:hAnsi="Times New Roman"/>
                <w:color w:val="auto"/>
                <w:sz w:val="21"/>
                <w:szCs w:val="24"/>
                <w:lang w:val="en-US" w:eastAsia="zh-CN"/>
              </w:rPr>
              <w:t>30</w:t>
            </w:r>
            <w:r>
              <w:rPr>
                <w:rFonts w:ascii="Times New Roman" w:hAnsi="Times New Roman"/>
                <w:color w:val="auto"/>
                <w:sz w:val="21"/>
                <w:szCs w:val="24"/>
              </w:rPr>
              <w:t>分</w:t>
            </w:r>
          </w:p>
          <w:p>
            <w:pPr>
              <w:pStyle w:val="6"/>
              <w:tabs>
                <w:tab w:val="left" w:leader="underscore" w:pos="1758"/>
              </w:tabs>
              <w:wordWrap/>
              <w:spacing w:line="280" w:lineRule="exact"/>
              <w:ind w:firstLine="0" w:firstLineChars="0"/>
              <w:rPr>
                <w:rFonts w:ascii="Times New Roman" w:hAnsi="Times New Roman"/>
                <w:color w:val="auto"/>
                <w:sz w:val="21"/>
                <w:szCs w:val="24"/>
              </w:rPr>
            </w:pPr>
            <w:r>
              <w:rPr>
                <w:rFonts w:ascii="Times New Roman" w:hAnsi="Times New Roman"/>
                <w:color w:val="auto"/>
                <w:sz w:val="21"/>
                <w:szCs w:val="24"/>
              </w:rPr>
              <w:t>业绩：</w:t>
            </w:r>
            <w:r>
              <w:rPr>
                <w:rFonts w:ascii="Times New Roman" w:hAnsi="Times New Roman"/>
                <w:color w:val="auto"/>
                <w:sz w:val="21"/>
                <w:szCs w:val="24"/>
                <w:lang w:val="en-US" w:eastAsia="zh-CN"/>
              </w:rPr>
              <w:t>20</w:t>
            </w:r>
            <w:r>
              <w:rPr>
                <w:rFonts w:ascii="Times New Roman" w:hAnsi="Times New Roman"/>
                <w:color w:val="auto"/>
                <w:sz w:val="21"/>
                <w:szCs w:val="24"/>
              </w:rPr>
              <w:t>分</w:t>
            </w:r>
          </w:p>
          <w:p>
            <w:pPr>
              <w:tabs>
                <w:tab w:val="left" w:leader="underscore" w:pos="2602"/>
              </w:tabs>
              <w:spacing w:line="280" w:lineRule="exact"/>
            </w:pPr>
            <w:r>
              <w:t>评标价：</w:t>
            </w:r>
            <w:r>
              <w:rPr>
                <w:rFonts w:hint="eastAsia"/>
              </w:rPr>
              <w:t>5</w:t>
            </w:r>
            <w: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 w:type="dxa"/>
            <w:bottom w:w="0" w:type="dxa"/>
            <w:right w:w="10" w:type="dxa"/>
          </w:tblCellMar>
        </w:tblPrEx>
        <w:trPr>
          <w:trHeight w:val="10999" w:hRule="atLeast"/>
          <w:jc w:val="center"/>
        </w:trPr>
        <w:tc>
          <w:tcPr>
            <w:tcW w:w="1095"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s="Times New Roman"/>
                <w:color w:val="auto"/>
                <w:sz w:val="21"/>
                <w:szCs w:val="24"/>
                <w:lang w:val="en-US" w:eastAsia="en-US" w:bidi="en-US"/>
              </w:rPr>
              <w:t>2.2.2</w:t>
            </w:r>
          </w:p>
        </w:tc>
        <w:tc>
          <w:tcPr>
            <w:tcW w:w="1277"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olor w:val="auto"/>
                <w:sz w:val="21"/>
                <w:szCs w:val="24"/>
              </w:rPr>
              <w:t>评标基准价计算方法</w:t>
            </w:r>
          </w:p>
        </w:tc>
        <w:tc>
          <w:tcPr>
            <w:tcW w:w="6735" w:type="dxa"/>
            <w:gridSpan w:val="3"/>
            <w:noWrap w:val="0"/>
            <w:vAlign w:val="center"/>
          </w:tcPr>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本次招标设定的评标基准价计算方法，在开标现场，随机抽取其中的一种作为该标段评标基准价的计算方法。</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评标价E</w:t>
            </w:r>
            <w:r>
              <w:rPr>
                <w:rFonts w:ascii="Times New Roman" w:hAnsi="Times New Roman"/>
                <w:color w:val="auto"/>
                <w:sz w:val="21"/>
                <w:szCs w:val="24"/>
                <w:lang w:eastAsia="zh-CN"/>
              </w:rPr>
              <w:t>=投标报价函文字报价</w:t>
            </w:r>
            <w:r>
              <w:rPr>
                <w:rFonts w:hint="eastAsia" w:ascii="Times New Roman" w:hAnsi="Times New Roman"/>
                <w:color w:val="auto"/>
                <w:sz w:val="21"/>
                <w:szCs w:val="24"/>
                <w:lang w:eastAsia="zh-CN"/>
              </w:rPr>
              <w:t>。</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当采用方法一、二、三时，评标基准价计算时去掉n1个最高评标价和n2个最低评标价。</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①当N&lt;6时，n1、n2均取0；</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②当N≥6时，去掉n1个最高评标价，去掉n2个最低评标价；</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n1在取值区间1～M-1中随机抽取（最小为1），n2在取值区间1～M+1中随机抽取；M=N/4，M向下取整。</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N为现场开标有效的投标人数量，超过最高投标限价的投标人不参与计算。</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根据上述规则去除n1个最高值和n2个最低值后，其余评标价参与评标基准价的计算，评标基准价保留两位小数，小数点后第三位“四舍五入”。</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※方法一：二次平均法</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对参与评标基准价计算的所有评标价进行第一次平均，对所有小于或等于第一次平均值的评标价（不包括去掉的n2个最低评标价）进行第二次平均，第二次平均值即为评标基准价P。</w:t>
            </w:r>
          </w:p>
          <w:p>
            <w:pPr>
              <w:pStyle w:val="6"/>
              <w:wordWrap/>
              <w:spacing w:line="280" w:lineRule="exact"/>
              <w:ind w:firstLine="0" w:firstLineChars="0"/>
              <w:rPr>
                <w:rFonts w:ascii="Times New Roman" w:hAnsi="Times New Roman"/>
                <w:color w:val="auto"/>
                <w:sz w:val="21"/>
                <w:szCs w:val="24"/>
              </w:rPr>
            </w:pPr>
            <w:r>
              <w:rPr>
                <w:rFonts w:hint="eastAsia" w:ascii="Times New Roman" w:hAnsi="Times New Roman"/>
                <w:color w:val="auto"/>
                <w:sz w:val="21"/>
                <w:szCs w:val="24"/>
              </w:rPr>
              <w:t>※方法二：随机系数法</w:t>
            </w:r>
          </w:p>
          <w:p>
            <w:pPr>
              <w:pStyle w:val="6"/>
              <w:wordWrap/>
              <w:spacing w:line="280" w:lineRule="exact"/>
              <w:ind w:firstLine="0" w:firstLineChars="0"/>
              <w:rPr>
                <w:rFonts w:ascii="Times New Roman" w:hAnsi="Times New Roman"/>
                <w:color w:val="auto"/>
                <w:sz w:val="21"/>
                <w:szCs w:val="24"/>
              </w:rPr>
            </w:pPr>
            <w:r>
              <w:rPr>
                <w:rFonts w:hint="eastAsia" w:ascii="Times New Roman" w:hAnsi="Times New Roman"/>
                <w:color w:val="auto"/>
                <w:sz w:val="21"/>
                <w:szCs w:val="24"/>
              </w:rPr>
              <w:t>评标基准价P＝(Emax-Emin)×K+ Emin</w:t>
            </w:r>
          </w:p>
          <w:p>
            <w:pPr>
              <w:pStyle w:val="6"/>
              <w:wordWrap/>
              <w:spacing w:line="280" w:lineRule="exact"/>
              <w:ind w:firstLine="0" w:firstLineChars="0"/>
              <w:rPr>
                <w:rFonts w:ascii="Times New Roman" w:hAnsi="Times New Roman"/>
                <w:color w:val="auto"/>
                <w:sz w:val="21"/>
                <w:szCs w:val="24"/>
              </w:rPr>
            </w:pPr>
            <w:r>
              <w:rPr>
                <w:rFonts w:hint="eastAsia" w:ascii="Times New Roman" w:hAnsi="Times New Roman"/>
                <w:color w:val="auto"/>
                <w:sz w:val="21"/>
                <w:szCs w:val="24"/>
              </w:rPr>
              <w:t>Emax——去掉n1个最高评标价后的最大值。</w:t>
            </w:r>
          </w:p>
          <w:p>
            <w:pPr>
              <w:pStyle w:val="6"/>
              <w:wordWrap/>
              <w:spacing w:line="280" w:lineRule="exact"/>
              <w:ind w:firstLine="0" w:firstLineChars="0"/>
              <w:rPr>
                <w:rFonts w:ascii="Times New Roman" w:hAnsi="Times New Roman"/>
                <w:color w:val="auto"/>
                <w:sz w:val="21"/>
                <w:szCs w:val="24"/>
              </w:rPr>
            </w:pPr>
            <w:r>
              <w:rPr>
                <w:rFonts w:hint="eastAsia" w:ascii="Times New Roman" w:hAnsi="Times New Roman"/>
                <w:color w:val="auto"/>
                <w:sz w:val="21"/>
                <w:szCs w:val="24"/>
              </w:rPr>
              <w:t>Emin——去掉n2个最低评标价后的最小值。</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K——基准价系数，由开标现场随机抽取的X、Y两个系数构成，K=(X+Y/10)/10，其中X、Y各设10个系数，分别为0、1、2、3、4、5、6、7、8、9。</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※方法三：随机权重法</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评标基准价P＝A×K+B×(1-K)</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A——去掉n1个最高评标价后的最大值</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B——参与评标基准价计算的所有评标价的平均值</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K——权重系数，由开标现场随机抽取的X、Y两个系数构成，K=(X+Y/10)/10，其中X有4个系数，分别为3、4、5、6；Y有10个系数分别为0、1、2、3、4、5、6、7、8、9。</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※方法四：随机低价法（适用于N≥5）</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评标基准价P＝去掉m个最低评标价的最低价</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m——在开标现场随机抽取，取值范围为n3～n4, 步距为1。</w:t>
            </w:r>
          </w:p>
          <w:p>
            <w:pPr>
              <w:pStyle w:val="6"/>
              <w:wordWrap/>
              <w:spacing w:line="280" w:lineRule="exact"/>
              <w:ind w:firstLine="0" w:firstLineChars="0"/>
              <w:rPr>
                <w:rFonts w:ascii="Times New Roman" w:hAnsi="Times New Roman"/>
                <w:color w:val="auto"/>
                <w:sz w:val="21"/>
                <w:szCs w:val="24"/>
              </w:rPr>
            </w:pPr>
            <w:r>
              <w:rPr>
                <w:rFonts w:hint="eastAsia" w:ascii="Times New Roman" w:hAnsi="Times New Roman"/>
                <w:color w:val="auto"/>
                <w:sz w:val="21"/>
                <w:szCs w:val="24"/>
              </w:rPr>
              <w:t>n3=N×0.2，n4=N×0.7，n3、n4向下取整。</w:t>
            </w:r>
          </w:p>
          <w:p>
            <w:pPr>
              <w:pStyle w:val="6"/>
              <w:wordWrap/>
              <w:spacing w:line="280" w:lineRule="exact"/>
              <w:ind w:firstLine="0" w:firstLineChars="0"/>
              <w:rPr>
                <w:rFonts w:ascii="Times New Roman" w:hAnsi="Times New Roman"/>
                <w:color w:val="auto"/>
                <w:sz w:val="21"/>
                <w:szCs w:val="24"/>
                <w:lang w:eastAsia="zh-CN"/>
              </w:rPr>
            </w:pPr>
            <w:r>
              <w:rPr>
                <w:rFonts w:hint="eastAsia" w:ascii="Times New Roman" w:hAnsi="Times New Roman"/>
                <w:color w:val="auto"/>
                <w:sz w:val="21"/>
                <w:szCs w:val="24"/>
                <w:lang w:eastAsia="zh-CN"/>
              </w:rPr>
              <w:t>在评标过程中，评标委员会应对评标基准价进行复核，存在计算错误的应予以修正并在评标报告中作出说明。除此之外，评标基准价在整个评标期间保持不变，不随任何因素（包括但不限于在评审过程中投标人的否决情况）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 w:type="dxa"/>
            <w:bottom w:w="0" w:type="dxa"/>
            <w:right w:w="10" w:type="dxa"/>
          </w:tblCellMar>
        </w:tblPrEx>
        <w:trPr>
          <w:trHeight w:val="1341" w:hRule="atLeast"/>
          <w:jc w:val="center"/>
        </w:trPr>
        <w:tc>
          <w:tcPr>
            <w:tcW w:w="1095" w:type="dxa"/>
            <w:noWrap w:val="0"/>
            <w:vAlign w:val="center"/>
          </w:tcPr>
          <w:p>
            <w:pPr>
              <w:pStyle w:val="6"/>
              <w:spacing w:line="300" w:lineRule="exact"/>
              <w:ind w:firstLine="0" w:firstLineChars="0"/>
              <w:jc w:val="center"/>
              <w:rPr>
                <w:rFonts w:ascii="Times New Roman" w:hAnsi="Times New Roman"/>
                <w:color w:val="auto"/>
                <w:sz w:val="21"/>
                <w:szCs w:val="21"/>
                <w:lang w:val="en-US" w:eastAsia="en-US"/>
              </w:rPr>
            </w:pPr>
            <w:r>
              <w:rPr>
                <w:rFonts w:ascii="Times New Roman" w:hAnsi="Times New Roman" w:cs="Times New Roman"/>
                <w:color w:val="auto"/>
                <w:sz w:val="21"/>
                <w:szCs w:val="21"/>
                <w:lang w:val="en-US" w:eastAsia="en-US" w:bidi="en-US"/>
              </w:rPr>
              <w:t>2.2.3</w:t>
            </w:r>
          </w:p>
        </w:tc>
        <w:tc>
          <w:tcPr>
            <w:tcW w:w="1277" w:type="dxa"/>
            <w:noWrap w:val="0"/>
            <w:vAlign w:val="center"/>
          </w:tcPr>
          <w:p>
            <w:pPr>
              <w:pStyle w:val="6"/>
              <w:spacing w:line="30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评标价的偏差率计算公式</w:t>
            </w:r>
          </w:p>
        </w:tc>
        <w:tc>
          <w:tcPr>
            <w:tcW w:w="6735" w:type="dxa"/>
            <w:gridSpan w:val="3"/>
            <w:noWrap w:val="0"/>
            <w:vAlign w:val="center"/>
          </w:tcPr>
          <w:p>
            <w:pPr>
              <w:pStyle w:val="6"/>
              <w:spacing w:line="300" w:lineRule="exact"/>
              <w:ind w:firstLine="0" w:firstLineChars="0"/>
              <w:rPr>
                <w:rFonts w:ascii="Times New Roman" w:hAnsi="Times New Roman"/>
                <w:color w:val="auto"/>
                <w:sz w:val="21"/>
                <w:szCs w:val="21"/>
                <w:lang w:eastAsia="zh-CN"/>
              </w:rPr>
            </w:pPr>
            <w:r>
              <w:rPr>
                <w:rFonts w:ascii="Times New Roman" w:hAnsi="Times New Roman"/>
                <w:color w:val="auto"/>
                <w:sz w:val="21"/>
                <w:szCs w:val="21"/>
              </w:rPr>
              <w:t>偏差率</w:t>
            </w:r>
            <w:r>
              <w:rPr>
                <w:rFonts w:ascii="Times New Roman" w:hAnsi="Times New Roman" w:cs="Times New Roman"/>
                <w:color w:val="auto"/>
                <w:sz w:val="21"/>
                <w:szCs w:val="21"/>
              </w:rPr>
              <w:t>=100%×</w:t>
            </w:r>
            <w:r>
              <w:rPr>
                <w:rFonts w:ascii="Times New Roman" w:hAnsi="Times New Roman"/>
                <w:color w:val="auto"/>
                <w:sz w:val="21"/>
                <w:szCs w:val="21"/>
              </w:rPr>
              <w:t>（投标人评标价</w:t>
            </w:r>
            <w:r>
              <w:rPr>
                <w:rFonts w:hint="eastAsia" w:ascii="Times New Roman" w:hAnsi="Times New Roman"/>
                <w:color w:val="auto"/>
                <w:sz w:val="21"/>
                <w:szCs w:val="21"/>
                <w:lang w:eastAsia="zh-CN"/>
              </w:rPr>
              <w:t>－</w:t>
            </w:r>
            <w:r>
              <w:rPr>
                <w:rFonts w:ascii="Times New Roman" w:hAnsi="Times New Roman"/>
                <w:color w:val="auto"/>
                <w:sz w:val="21"/>
                <w:szCs w:val="21"/>
              </w:rPr>
              <w:t>评标基准价）</w:t>
            </w:r>
            <w:r>
              <w:rPr>
                <w:rFonts w:ascii="Times New Roman" w:hAnsi="Times New Roman" w:cs="Times New Roman"/>
                <w:color w:val="auto"/>
                <w:sz w:val="21"/>
                <w:szCs w:val="21"/>
                <w:lang w:val="en-US" w:eastAsia="zh-CN"/>
              </w:rPr>
              <w:t>/</w:t>
            </w:r>
            <w:r>
              <w:rPr>
                <w:rFonts w:ascii="Times New Roman" w:hAnsi="Times New Roman"/>
                <w:color w:val="auto"/>
                <w:sz w:val="21"/>
                <w:szCs w:val="21"/>
              </w:rPr>
              <w:t>评标基准价</w:t>
            </w:r>
          </w:p>
          <w:p>
            <w:pPr>
              <w:spacing w:line="300" w:lineRule="exact"/>
              <w:rPr>
                <w:szCs w:val="21"/>
              </w:rPr>
            </w:pPr>
            <w:r>
              <w:rPr>
                <w:szCs w:val="21"/>
              </w:rPr>
              <w:t>偏差率保留</w:t>
            </w:r>
            <w:r>
              <w:rPr>
                <w:rFonts w:hint="eastAsia"/>
                <w:szCs w:val="21"/>
                <w:u w:val="single"/>
              </w:rPr>
              <w:t xml:space="preserve"> 九 </w:t>
            </w:r>
            <w:r>
              <w:rPr>
                <w:szCs w:val="21"/>
              </w:rPr>
              <w:t>位小数</w:t>
            </w:r>
            <w:r>
              <w:rPr>
                <w:rFonts w:hint="eastAsia"/>
                <w:szCs w:val="21"/>
              </w:rPr>
              <w:t>（</w:t>
            </w:r>
            <w:r>
              <w:rPr>
                <w:szCs w:val="21"/>
              </w:rPr>
              <w:t>四舍五入</w:t>
            </w:r>
            <w:r>
              <w:rPr>
                <w:rFonts w:hint="eastAsia"/>
                <w:szCs w:val="21"/>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jc w:val="center"/>
        </w:trPr>
        <w:tc>
          <w:tcPr>
            <w:tcW w:w="6577" w:type="dxa"/>
            <w:gridSpan w:val="4"/>
            <w:noWrap w:val="0"/>
            <w:vAlign w:val="center"/>
          </w:tcPr>
          <w:p>
            <w:pPr>
              <w:pStyle w:val="6"/>
              <w:wordWrap/>
              <w:spacing w:line="300" w:lineRule="exact"/>
              <w:ind w:firstLine="0" w:firstLineChars="0"/>
              <w:jc w:val="center"/>
              <w:rPr>
                <w:rFonts w:ascii="Times New Roman" w:hAnsi="Times New Roman"/>
                <w:b/>
                <w:color w:val="auto"/>
                <w:sz w:val="21"/>
                <w:szCs w:val="24"/>
                <w:lang w:eastAsia="zh-CN"/>
              </w:rPr>
            </w:pPr>
            <w:r>
              <w:rPr>
                <w:rFonts w:ascii="Times New Roman" w:hAnsi="Times New Roman"/>
                <w:b/>
                <w:color w:val="auto"/>
                <w:sz w:val="21"/>
                <w:szCs w:val="24"/>
              </w:rPr>
              <w:t>评分因素与权重分值</w:t>
            </w:r>
          </w:p>
        </w:tc>
        <w:tc>
          <w:tcPr>
            <w:tcW w:w="2530" w:type="dxa"/>
            <w:vMerge w:val="restart"/>
            <w:noWrap w:val="0"/>
            <w:vAlign w:val="center"/>
          </w:tcPr>
          <w:p>
            <w:pPr>
              <w:pStyle w:val="6"/>
              <w:wordWrap/>
              <w:spacing w:line="300" w:lineRule="exact"/>
              <w:ind w:firstLine="0" w:firstLineChars="0"/>
              <w:jc w:val="center"/>
              <w:rPr>
                <w:rFonts w:ascii="Times New Roman" w:hAnsi="Times New Roman"/>
                <w:b/>
                <w:color w:val="auto"/>
                <w:sz w:val="21"/>
                <w:szCs w:val="24"/>
              </w:rPr>
            </w:pPr>
            <w:r>
              <w:rPr>
                <w:rFonts w:ascii="Times New Roman" w:hAnsi="Times New Roman"/>
                <w:b/>
                <w:color w:val="auto"/>
                <w:sz w:val="21"/>
                <w:szCs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jc w:val="center"/>
        </w:trPr>
        <w:tc>
          <w:tcPr>
            <w:tcW w:w="1095" w:type="dxa"/>
            <w:noWrap w:val="0"/>
            <w:vAlign w:val="center"/>
          </w:tcPr>
          <w:p>
            <w:pPr>
              <w:pStyle w:val="6"/>
              <w:wordWrap/>
              <w:spacing w:line="300" w:lineRule="exact"/>
              <w:ind w:firstLine="0" w:firstLineChars="0"/>
              <w:jc w:val="center"/>
              <w:rPr>
                <w:rFonts w:ascii="Times New Roman" w:hAnsi="Times New Roman"/>
                <w:b/>
                <w:color w:val="auto"/>
                <w:sz w:val="21"/>
                <w:szCs w:val="24"/>
              </w:rPr>
            </w:pPr>
            <w:r>
              <w:rPr>
                <w:rFonts w:ascii="Times New Roman" w:hAnsi="Times New Roman"/>
                <w:b/>
                <w:color w:val="auto"/>
                <w:sz w:val="21"/>
                <w:szCs w:val="24"/>
              </w:rPr>
              <w:t>条款号</w:t>
            </w:r>
          </w:p>
        </w:tc>
        <w:tc>
          <w:tcPr>
            <w:tcW w:w="1277" w:type="dxa"/>
            <w:noWrap w:val="0"/>
            <w:vAlign w:val="center"/>
          </w:tcPr>
          <w:p>
            <w:pPr>
              <w:pStyle w:val="6"/>
              <w:wordWrap/>
              <w:spacing w:line="300" w:lineRule="exact"/>
              <w:ind w:firstLine="0" w:firstLineChars="0"/>
              <w:jc w:val="center"/>
              <w:rPr>
                <w:rFonts w:ascii="Times New Roman" w:hAnsi="Times New Roman"/>
                <w:b/>
                <w:color w:val="auto"/>
                <w:sz w:val="21"/>
                <w:szCs w:val="24"/>
              </w:rPr>
            </w:pPr>
            <w:r>
              <w:rPr>
                <w:rFonts w:ascii="Times New Roman" w:hAnsi="Times New Roman"/>
                <w:b/>
                <w:color w:val="auto"/>
                <w:sz w:val="21"/>
                <w:szCs w:val="24"/>
              </w:rPr>
              <w:t>评分因素</w:t>
            </w:r>
          </w:p>
        </w:tc>
        <w:tc>
          <w:tcPr>
            <w:tcW w:w="1353" w:type="dxa"/>
            <w:noWrap w:val="0"/>
            <w:vAlign w:val="center"/>
          </w:tcPr>
          <w:p>
            <w:pPr>
              <w:pStyle w:val="6"/>
              <w:wordWrap/>
              <w:spacing w:line="300" w:lineRule="exact"/>
              <w:ind w:firstLine="0" w:firstLineChars="0"/>
              <w:jc w:val="center"/>
              <w:rPr>
                <w:rFonts w:ascii="Times New Roman" w:hAnsi="Times New Roman"/>
                <w:b/>
                <w:color w:val="auto"/>
                <w:sz w:val="21"/>
                <w:szCs w:val="24"/>
              </w:rPr>
            </w:pPr>
            <w:r>
              <w:rPr>
                <w:rFonts w:ascii="Times New Roman" w:hAnsi="Times New Roman"/>
                <w:b/>
                <w:color w:val="auto"/>
                <w:sz w:val="21"/>
                <w:szCs w:val="24"/>
              </w:rPr>
              <w:t>评分因素权重分值</w:t>
            </w:r>
          </w:p>
        </w:tc>
        <w:tc>
          <w:tcPr>
            <w:tcW w:w="2852" w:type="dxa"/>
            <w:noWrap w:val="0"/>
            <w:vAlign w:val="center"/>
          </w:tcPr>
          <w:p>
            <w:pPr>
              <w:jc w:val="center"/>
              <w:rPr>
                <w:b/>
                <w:szCs w:val="21"/>
              </w:rPr>
            </w:pPr>
            <w:r>
              <w:rPr>
                <w:rFonts w:ascii="Times New Roman" w:hAnsi="Times New Roman"/>
                <w:b/>
                <w:szCs w:val="24"/>
              </w:rPr>
              <w:t>各评分因素细分项</w:t>
            </w:r>
          </w:p>
        </w:tc>
        <w:tc>
          <w:tcPr>
            <w:tcW w:w="2530" w:type="dxa"/>
            <w:vMerge w:val="continue"/>
            <w:noWrap w:val="0"/>
            <w:vAlign w:val="center"/>
          </w:tcPr>
          <w:p>
            <w:pPr>
              <w:spacing w:line="300" w:lineRule="exact"/>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02" w:hRule="atLeast"/>
          <w:jc w:val="center"/>
        </w:trPr>
        <w:tc>
          <w:tcPr>
            <w:tcW w:w="1095"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s="Times New Roman"/>
                <w:color w:val="auto"/>
                <w:sz w:val="21"/>
                <w:szCs w:val="24"/>
                <w:lang w:val="en-US" w:eastAsia="en-US" w:bidi="en-US"/>
              </w:rPr>
              <w:t>2.2.4</w:t>
            </w:r>
            <w:r>
              <w:rPr>
                <w:rFonts w:ascii="Times New Roman" w:hAnsi="Times New Roman" w:cs="Times New Roman"/>
                <w:color w:val="auto"/>
                <w:sz w:val="21"/>
                <w:szCs w:val="24"/>
              </w:rPr>
              <w:t>(</w:t>
            </w:r>
            <w:r>
              <w:rPr>
                <w:rFonts w:ascii="Times New Roman" w:hAnsi="Times New Roman" w:eastAsia="PMingLiU" w:cs="Times New Roman"/>
                <w:color w:val="auto"/>
                <w:sz w:val="21"/>
                <w:szCs w:val="24"/>
              </w:rPr>
              <w:t>1</w:t>
            </w:r>
            <w:r>
              <w:rPr>
                <w:rFonts w:ascii="Times New Roman" w:hAnsi="Times New Roman" w:cs="Times New Roman"/>
                <w:color w:val="auto"/>
                <w:sz w:val="21"/>
                <w:szCs w:val="24"/>
              </w:rPr>
              <w:t>)</w:t>
            </w:r>
          </w:p>
        </w:tc>
        <w:tc>
          <w:tcPr>
            <w:tcW w:w="1277"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olor w:val="auto"/>
                <w:sz w:val="21"/>
                <w:szCs w:val="24"/>
              </w:rPr>
              <w:t>主要人员</w:t>
            </w:r>
          </w:p>
        </w:tc>
        <w:tc>
          <w:tcPr>
            <w:tcW w:w="1353" w:type="dxa"/>
            <w:noWrap w:val="0"/>
            <w:vAlign w:val="center"/>
          </w:tcPr>
          <w:p>
            <w:pPr>
              <w:pStyle w:val="6"/>
              <w:tabs>
                <w:tab w:val="left" w:leader="underscore" w:pos="639"/>
              </w:tabs>
              <w:wordWrap/>
              <w:spacing w:line="300" w:lineRule="exact"/>
              <w:ind w:firstLine="0" w:firstLineChars="0"/>
              <w:jc w:val="center"/>
              <w:rPr>
                <w:rFonts w:ascii="Times New Roman" w:hAnsi="Times New Roman"/>
                <w:color w:val="auto"/>
                <w:sz w:val="21"/>
                <w:szCs w:val="24"/>
              </w:rPr>
            </w:pPr>
            <w:r>
              <w:rPr>
                <w:rFonts w:ascii="Times New Roman" w:hAnsi="Times New Roman"/>
                <w:color w:val="auto"/>
                <w:sz w:val="21"/>
                <w:szCs w:val="21"/>
                <w:u w:val="single"/>
                <w:lang w:val="en-US" w:eastAsia="zh-CN"/>
              </w:rPr>
              <w:t>30</w:t>
            </w:r>
            <w:r>
              <w:rPr>
                <w:rFonts w:hint="eastAsia" w:ascii="Times New Roman" w:hAnsi="Times New Roman"/>
                <w:color w:val="auto"/>
                <w:sz w:val="21"/>
                <w:szCs w:val="21"/>
                <w:u w:val="single"/>
              </w:rPr>
              <w:t xml:space="preserve"> </w:t>
            </w:r>
            <w:r>
              <w:rPr>
                <w:rFonts w:ascii="Times New Roman" w:hAnsi="Times New Roman"/>
                <w:color w:val="auto"/>
                <w:sz w:val="21"/>
                <w:szCs w:val="24"/>
              </w:rPr>
              <w:t>分</w:t>
            </w:r>
          </w:p>
        </w:tc>
        <w:tc>
          <w:tcPr>
            <w:tcW w:w="5382" w:type="dxa"/>
            <w:gridSpan w:val="2"/>
            <w:noWrap w:val="0"/>
            <w:vAlign w:val="center"/>
          </w:tcPr>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满足资格条件要求得 18 分，在满足资格条件的基础上：</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1、项目负责人每增加 1 个近五年（2018 年 1 月 1 日至招标公告发布前一日）公路工程竣工环境保护验收业绩（以专项验收时间为准）得 1 分，最多得 4 分。</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2、项目负责人每增加 1 个近五年（2018 年 1 月 1 日至招标公告发布前一日）高原（海拔大于等于 3000 米）公路工程竣工环境保护验收业绩（以专项验收时间为准）得1 分，最多得 2 分。</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3、除项目负责人外，项目团队中（投入本项目的履约人员）每提供 1 个在环境影响评价信用平台注册，具备注册环境影响评价工程师资格并同时具备中级及以上职称的得 1 分，本项最多得 6 分。</w:t>
            </w:r>
          </w:p>
          <w:p>
            <w:pPr>
              <w:pStyle w:val="6"/>
              <w:tabs>
                <w:tab w:val="left" w:leader="dot" w:pos="379"/>
              </w:tabs>
              <w:wordWrap/>
              <w:spacing w:line="300" w:lineRule="exact"/>
              <w:ind w:firstLine="0" w:firstLineChars="0"/>
              <w:jc w:val="left"/>
              <w:rPr>
                <w:rFonts w:eastAsia="PMingLiU"/>
                <w:color w:val="auto"/>
                <w:sz w:val="21"/>
                <w:szCs w:val="24"/>
              </w:rPr>
            </w:pPr>
            <w:r>
              <w:rPr>
                <w:rFonts w:hint="eastAsia"/>
                <w:color w:val="auto"/>
                <w:sz w:val="21"/>
                <w:szCs w:val="24"/>
              </w:rPr>
              <w:t>注：①</w:t>
            </w:r>
            <w:r>
              <w:rPr>
                <w:rFonts w:hint="eastAsia"/>
                <w:color w:val="auto"/>
                <w:szCs w:val="21"/>
              </w:rPr>
              <w:t>业绩证明需提供行业主管部门网站中查询业绩的网页截图复印件。网站不能查询的，须提供中标通知书或合同协议书或业主证明材料以及专项验收证明，若投标人提供的网页截图信息或其他业绩证明材料无法证实该项目业绩，则该业绩不予认定。</w:t>
            </w:r>
            <w:r>
              <w:rPr>
                <w:rFonts w:hint="eastAsia"/>
                <w:color w:val="auto"/>
                <w:sz w:val="21"/>
                <w:szCs w:val="24"/>
              </w:rPr>
              <w:t>②履约人员</w:t>
            </w:r>
            <w:r>
              <w:rPr>
                <w:rFonts w:hint="eastAsia"/>
                <w:color w:val="auto"/>
                <w:sz w:val="21"/>
                <w:szCs w:val="21"/>
              </w:rPr>
              <w:t>须提供2022年至今连续12个月由社保机构出具的社保缴纳证明（包含医疗、工伤、养老），社保系统改革的省份，医疗、工伤保险可由其他相关系统打印</w:t>
            </w:r>
            <w:r>
              <w:rPr>
                <w:rFonts w:hint="eastAsia"/>
                <w:color w:val="auto"/>
                <w:sz w:val="21"/>
                <w:szCs w:val="24"/>
              </w:rPr>
              <w:t>。</w:t>
            </w:r>
          </w:p>
          <w:p>
            <w:pPr>
              <w:pStyle w:val="6"/>
              <w:tabs>
                <w:tab w:val="left" w:leader="dot" w:pos="379"/>
              </w:tabs>
              <w:wordWrap/>
              <w:spacing w:line="300" w:lineRule="exact"/>
              <w:ind w:firstLine="0" w:firstLineChars="0"/>
              <w:jc w:val="left"/>
              <w:rPr>
                <w:color w:val="auto"/>
                <w:sz w:val="21"/>
                <w:szCs w:val="24"/>
              </w:rPr>
            </w:pPr>
            <w:r>
              <w:rPr>
                <w:rFonts w:hint="eastAsia"/>
                <w:color w:val="auto"/>
                <w:szCs w:val="21"/>
              </w:rPr>
              <w:t>（投标人提供的同一业绩证明材料满足本款第</w:t>
            </w:r>
            <w:r>
              <w:rPr>
                <w:rFonts w:hint="eastAsia"/>
                <w:color w:val="auto"/>
                <w:szCs w:val="21"/>
                <w:lang w:eastAsia="zh-CN"/>
              </w:rPr>
              <w:t>1条要求的同时也满足</w:t>
            </w:r>
            <w:r>
              <w:rPr>
                <w:rFonts w:hint="eastAsia"/>
                <w:color w:val="auto"/>
                <w:szCs w:val="21"/>
              </w:rPr>
              <w:t>本款第</w:t>
            </w:r>
            <w:r>
              <w:rPr>
                <w:rFonts w:eastAsia="PMingLiU"/>
                <w:color w:val="auto"/>
                <w:szCs w:val="21"/>
              </w:rPr>
              <w:t>2</w:t>
            </w:r>
            <w:r>
              <w:rPr>
                <w:rFonts w:hint="eastAsia"/>
                <w:color w:val="auto"/>
                <w:szCs w:val="21"/>
                <w:lang w:eastAsia="zh-CN"/>
              </w:rPr>
              <w:t>条的，可同时得分</w:t>
            </w: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802" w:hRule="atLeast"/>
          <w:jc w:val="center"/>
        </w:trPr>
        <w:tc>
          <w:tcPr>
            <w:tcW w:w="1095" w:type="dxa"/>
            <w:noWrap w:val="0"/>
            <w:vAlign w:val="center"/>
          </w:tcPr>
          <w:p>
            <w:pPr>
              <w:pStyle w:val="6"/>
              <w:wordWrap/>
              <w:spacing w:line="300" w:lineRule="exact"/>
              <w:ind w:firstLine="0" w:firstLineChars="0"/>
              <w:jc w:val="center"/>
              <w:rPr>
                <w:rFonts w:ascii="Times New Roman" w:hAnsi="Times New Roman" w:cs="Times New Roman"/>
                <w:color w:val="auto"/>
                <w:sz w:val="21"/>
                <w:szCs w:val="24"/>
                <w:lang w:val="en-US" w:eastAsia="en-US" w:bidi="en-US"/>
              </w:rPr>
            </w:pPr>
            <w:r>
              <w:rPr>
                <w:rFonts w:ascii="Times New Roman" w:hAnsi="Times New Roman" w:cs="Times New Roman"/>
                <w:color w:val="auto"/>
                <w:sz w:val="21"/>
                <w:szCs w:val="24"/>
                <w:lang w:val="en-US" w:eastAsia="en-US" w:bidi="en-US"/>
              </w:rPr>
              <w:t>2.2.4</w:t>
            </w:r>
            <w:r>
              <w:rPr>
                <w:rFonts w:ascii="Times New Roman" w:hAnsi="Times New Roman" w:cs="Times New Roman"/>
                <w:color w:val="auto"/>
                <w:sz w:val="21"/>
                <w:szCs w:val="24"/>
              </w:rPr>
              <w:t>(</w:t>
            </w:r>
            <w:r>
              <w:rPr>
                <w:rFonts w:ascii="Times New Roman" w:hAnsi="Times New Roman" w:eastAsia="PMingLiU" w:cs="Times New Roman"/>
                <w:color w:val="auto"/>
                <w:sz w:val="21"/>
                <w:szCs w:val="24"/>
              </w:rPr>
              <w:t>2</w:t>
            </w:r>
            <w:r>
              <w:rPr>
                <w:rFonts w:ascii="Times New Roman" w:hAnsi="Times New Roman" w:cs="Times New Roman"/>
                <w:color w:val="auto"/>
                <w:sz w:val="21"/>
                <w:szCs w:val="24"/>
              </w:rPr>
              <w:t>)</w:t>
            </w:r>
          </w:p>
        </w:tc>
        <w:tc>
          <w:tcPr>
            <w:tcW w:w="1277"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hint="eastAsia" w:ascii="Times New Roman" w:hAnsi="Times New Roman"/>
                <w:color w:val="auto"/>
                <w:sz w:val="21"/>
                <w:szCs w:val="24"/>
              </w:rPr>
              <w:t>企业业绩</w:t>
            </w:r>
          </w:p>
        </w:tc>
        <w:tc>
          <w:tcPr>
            <w:tcW w:w="1353" w:type="dxa"/>
            <w:noWrap w:val="0"/>
            <w:vAlign w:val="center"/>
          </w:tcPr>
          <w:p>
            <w:pPr>
              <w:pStyle w:val="6"/>
              <w:tabs>
                <w:tab w:val="left" w:leader="underscore" w:pos="639"/>
              </w:tabs>
              <w:wordWrap/>
              <w:spacing w:line="300" w:lineRule="exact"/>
              <w:ind w:firstLine="0" w:firstLineChars="0"/>
              <w:jc w:val="center"/>
              <w:rPr>
                <w:rFonts w:hint="eastAsia" w:ascii="Times New Roman" w:hAnsi="Times New Roman"/>
                <w:color w:val="auto"/>
                <w:sz w:val="21"/>
                <w:szCs w:val="21"/>
                <w:u w:val="single"/>
              </w:rPr>
            </w:pPr>
            <w:r>
              <w:rPr>
                <w:rFonts w:ascii="Times New Roman" w:hAnsi="Times New Roman"/>
                <w:color w:val="auto"/>
                <w:sz w:val="21"/>
                <w:szCs w:val="21"/>
                <w:u w:val="single"/>
                <w:lang w:val="en-US" w:eastAsia="zh-CN"/>
              </w:rPr>
              <w:t>20</w:t>
            </w:r>
            <w:r>
              <w:rPr>
                <w:rFonts w:hint="eastAsia" w:ascii="Times New Roman" w:hAnsi="Times New Roman"/>
                <w:color w:val="auto"/>
                <w:sz w:val="21"/>
                <w:szCs w:val="21"/>
                <w:u w:val="single"/>
              </w:rPr>
              <w:t xml:space="preserve"> </w:t>
            </w:r>
            <w:r>
              <w:rPr>
                <w:rFonts w:ascii="Times New Roman" w:hAnsi="Times New Roman"/>
                <w:color w:val="auto"/>
                <w:sz w:val="21"/>
                <w:szCs w:val="24"/>
              </w:rPr>
              <w:t>分</w:t>
            </w:r>
          </w:p>
        </w:tc>
        <w:tc>
          <w:tcPr>
            <w:tcW w:w="5382" w:type="dxa"/>
            <w:gridSpan w:val="2"/>
            <w:noWrap w:val="0"/>
            <w:vAlign w:val="center"/>
          </w:tcPr>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满足资格条件要求得 12 分，在满足资格条件的基础上：</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1、投标人每增加 1 个近五年（2018 年 1 月 1 日至招标公告发布前一日）公路工程竣工环境保护验收业绩（以专项验收时间为准）得 1 分，本项最多得 6 分。</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2、投标人每增加 1 个近五年（2018 年 1 月 1 日至招标公告发布前一日）高原（海拔大于等于 3000 米）公路工程竣工环境保护验收业绩（以专项验收时间为准）得 1分，本项最多得 2 分。</w:t>
            </w:r>
          </w:p>
          <w:p>
            <w:pPr>
              <w:pStyle w:val="6"/>
              <w:tabs>
                <w:tab w:val="left" w:leader="dot" w:pos="379"/>
              </w:tabs>
              <w:spacing w:line="300" w:lineRule="exact"/>
              <w:ind w:firstLine="420"/>
              <w:jc w:val="left"/>
              <w:rPr>
                <w:rFonts w:hint="eastAsia"/>
                <w:color w:val="auto"/>
                <w:sz w:val="21"/>
                <w:szCs w:val="24"/>
              </w:rPr>
            </w:pPr>
            <w:r>
              <w:rPr>
                <w:rFonts w:hint="eastAsia"/>
                <w:color w:val="auto"/>
                <w:sz w:val="21"/>
                <w:szCs w:val="24"/>
              </w:rPr>
              <w:t>注：</w:t>
            </w:r>
            <w:r>
              <w:rPr>
                <w:rFonts w:hint="eastAsia"/>
                <w:color w:val="auto"/>
                <w:szCs w:val="21"/>
              </w:rPr>
              <w:t>业绩证明需提供行业主管部门网站中查询业绩的网页截图复印件。网站不能查询的，须提供中标通知书或合同协议书或业主证明材料以及专项验收证明，若投标人提供的网页截图信息或其他业绩证明材料无法证实该项目业绩，则该业绩不予认定。（投标人提供的同一业绩证明材料满足本款第</w:t>
            </w:r>
            <w:r>
              <w:rPr>
                <w:rFonts w:hint="eastAsia"/>
                <w:color w:val="auto"/>
                <w:szCs w:val="21"/>
                <w:lang w:eastAsia="zh-CN"/>
              </w:rPr>
              <w:t>1条要求的同时也满足</w:t>
            </w:r>
            <w:r>
              <w:rPr>
                <w:rFonts w:hint="eastAsia"/>
                <w:color w:val="auto"/>
                <w:szCs w:val="21"/>
              </w:rPr>
              <w:t>本款第</w:t>
            </w:r>
            <w:r>
              <w:rPr>
                <w:rFonts w:eastAsia="PMingLiU"/>
                <w:color w:val="auto"/>
                <w:szCs w:val="21"/>
              </w:rPr>
              <w:t>2</w:t>
            </w:r>
            <w:r>
              <w:rPr>
                <w:rFonts w:hint="eastAsia"/>
                <w:color w:val="auto"/>
                <w:szCs w:val="21"/>
                <w:lang w:eastAsia="zh-CN"/>
              </w:rPr>
              <w:t>条的，可同时得分</w:t>
            </w: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jc w:val="center"/>
        </w:trPr>
        <w:tc>
          <w:tcPr>
            <w:tcW w:w="1095"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s="Times New Roman"/>
                <w:color w:val="auto"/>
                <w:sz w:val="21"/>
                <w:szCs w:val="24"/>
                <w:lang w:val="en-US" w:eastAsia="en-US" w:bidi="en-US"/>
              </w:rPr>
              <w:t>2.2.4</w:t>
            </w:r>
            <w:r>
              <w:rPr>
                <w:rFonts w:ascii="Times New Roman" w:hAnsi="Times New Roman" w:cs="Times New Roman"/>
                <w:color w:val="auto"/>
                <w:sz w:val="21"/>
                <w:szCs w:val="24"/>
              </w:rPr>
              <w:t>(</w:t>
            </w:r>
            <w:r>
              <w:rPr>
                <w:rFonts w:ascii="Times New Roman" w:hAnsi="Times New Roman" w:eastAsia="PMingLiU" w:cs="Times New Roman"/>
                <w:color w:val="auto"/>
                <w:sz w:val="21"/>
                <w:szCs w:val="24"/>
              </w:rPr>
              <w:t>3</w:t>
            </w:r>
            <w:r>
              <w:rPr>
                <w:rFonts w:ascii="Times New Roman" w:hAnsi="Times New Roman" w:cs="Times New Roman"/>
                <w:color w:val="auto"/>
                <w:sz w:val="21"/>
                <w:szCs w:val="24"/>
              </w:rPr>
              <w:t>)</w:t>
            </w:r>
          </w:p>
        </w:tc>
        <w:tc>
          <w:tcPr>
            <w:tcW w:w="1277" w:type="dxa"/>
            <w:noWrap w:val="0"/>
            <w:vAlign w:val="center"/>
          </w:tcPr>
          <w:p>
            <w:pPr>
              <w:pStyle w:val="6"/>
              <w:wordWrap/>
              <w:spacing w:line="300" w:lineRule="exact"/>
              <w:ind w:firstLine="0" w:firstLineChars="0"/>
              <w:jc w:val="center"/>
              <w:rPr>
                <w:rFonts w:ascii="Times New Roman" w:hAnsi="Times New Roman"/>
                <w:color w:val="auto"/>
                <w:sz w:val="21"/>
                <w:szCs w:val="24"/>
              </w:rPr>
            </w:pPr>
            <w:r>
              <w:rPr>
                <w:rFonts w:ascii="Times New Roman" w:hAnsi="Times New Roman"/>
                <w:color w:val="auto"/>
                <w:sz w:val="21"/>
                <w:szCs w:val="24"/>
              </w:rPr>
              <w:t>评标价</w:t>
            </w:r>
          </w:p>
        </w:tc>
        <w:tc>
          <w:tcPr>
            <w:tcW w:w="1353" w:type="dxa"/>
            <w:noWrap w:val="0"/>
            <w:vAlign w:val="center"/>
          </w:tcPr>
          <w:p>
            <w:pPr>
              <w:pStyle w:val="6"/>
              <w:tabs>
                <w:tab w:val="left" w:leader="underscore" w:pos="642"/>
              </w:tabs>
              <w:wordWrap/>
              <w:spacing w:line="300" w:lineRule="exact"/>
              <w:ind w:firstLine="0" w:firstLineChars="0"/>
              <w:jc w:val="center"/>
              <w:rPr>
                <w:rFonts w:ascii="Times New Roman" w:hAnsi="Times New Roman"/>
                <w:color w:val="auto"/>
                <w:sz w:val="21"/>
                <w:szCs w:val="24"/>
              </w:rPr>
            </w:pPr>
            <w:r>
              <w:rPr>
                <w:rFonts w:hint="eastAsia" w:ascii="Times New Roman" w:hAnsi="Times New Roman"/>
                <w:color w:val="auto"/>
                <w:sz w:val="21"/>
                <w:szCs w:val="21"/>
                <w:u w:val="single"/>
                <w:lang w:val="en-US" w:eastAsia="zh-CN"/>
              </w:rPr>
              <w:t>5</w:t>
            </w:r>
            <w:r>
              <w:rPr>
                <w:rFonts w:ascii="Times New Roman" w:hAnsi="Times New Roman" w:eastAsia="PMingLiU"/>
                <w:color w:val="auto"/>
                <w:sz w:val="21"/>
                <w:szCs w:val="21"/>
                <w:u w:val="single"/>
              </w:rPr>
              <w:t>0</w:t>
            </w:r>
            <w:r>
              <w:rPr>
                <w:rFonts w:ascii="Times New Roman" w:hAnsi="Times New Roman"/>
                <w:color w:val="auto"/>
                <w:sz w:val="21"/>
                <w:szCs w:val="24"/>
              </w:rPr>
              <w:t>分</w:t>
            </w:r>
          </w:p>
        </w:tc>
        <w:tc>
          <w:tcPr>
            <w:tcW w:w="5382" w:type="dxa"/>
            <w:gridSpan w:val="2"/>
            <w:noWrap w:val="0"/>
            <w:vAlign w:val="center"/>
          </w:tcPr>
          <w:p>
            <w:pPr>
              <w:pStyle w:val="6"/>
              <w:wordWrap/>
              <w:spacing w:line="300" w:lineRule="exact"/>
              <w:ind w:firstLine="0" w:firstLineChars="0"/>
              <w:rPr>
                <w:rFonts w:ascii="Times New Roman" w:hAnsi="Times New Roman"/>
                <w:color w:val="auto"/>
                <w:sz w:val="21"/>
                <w:szCs w:val="24"/>
              </w:rPr>
            </w:pPr>
            <w:r>
              <w:rPr>
                <w:rFonts w:ascii="Times New Roman" w:hAnsi="Times New Roman"/>
                <w:color w:val="auto"/>
                <w:sz w:val="21"/>
                <w:szCs w:val="24"/>
              </w:rPr>
              <w:t>评标价得分计算公式示例：</w:t>
            </w:r>
          </w:p>
          <w:p>
            <w:pPr>
              <w:pStyle w:val="6"/>
              <w:wordWrap/>
              <w:spacing w:line="300" w:lineRule="exact"/>
              <w:ind w:firstLine="0" w:firstLineChars="0"/>
              <w:rPr>
                <w:rFonts w:ascii="Times New Roman" w:hAnsi="Times New Roman"/>
                <w:color w:val="auto"/>
                <w:sz w:val="21"/>
                <w:szCs w:val="24"/>
              </w:rPr>
            </w:pPr>
            <w:r>
              <w:rPr>
                <w:rFonts w:ascii="Times New Roman" w:hAnsi="Times New Roman"/>
                <w:color w:val="auto"/>
                <w:sz w:val="21"/>
                <w:szCs w:val="24"/>
              </w:rPr>
              <w:t>（</w:t>
            </w:r>
            <w:r>
              <w:rPr>
                <w:rFonts w:ascii="Times New Roman" w:hAnsi="Times New Roman" w:cs="Times New Roman"/>
                <w:color w:val="auto"/>
                <w:sz w:val="21"/>
                <w:szCs w:val="24"/>
              </w:rPr>
              <w:t>1</w:t>
            </w:r>
            <w:r>
              <w:rPr>
                <w:rFonts w:ascii="Times New Roman" w:hAnsi="Times New Roman"/>
                <w:color w:val="auto"/>
                <w:sz w:val="21"/>
                <w:szCs w:val="24"/>
              </w:rPr>
              <w:t>）如果投标人的评</w:t>
            </w:r>
            <w:r>
              <w:rPr>
                <w:rFonts w:ascii="Times New Roman" w:hAnsi="Times New Roman"/>
                <w:color w:val="auto"/>
                <w:sz w:val="21"/>
                <w:szCs w:val="24"/>
                <w:lang w:val="zh-CN" w:eastAsia="zh-CN" w:bidi="zh-CN"/>
              </w:rPr>
              <w:t>标价〉</w:t>
            </w:r>
            <w:r>
              <w:rPr>
                <w:rFonts w:ascii="Times New Roman" w:hAnsi="Times New Roman"/>
                <w:color w:val="auto"/>
                <w:sz w:val="21"/>
                <w:szCs w:val="24"/>
              </w:rPr>
              <w:t>评标基准价，则评标价得分</w:t>
            </w:r>
          </w:p>
          <w:p>
            <w:pPr>
              <w:pStyle w:val="6"/>
              <w:wordWrap/>
              <w:spacing w:line="300" w:lineRule="exact"/>
              <w:ind w:firstLine="0" w:firstLineChars="0"/>
              <w:rPr>
                <w:rFonts w:ascii="Times New Roman" w:hAnsi="Times New Roman"/>
                <w:color w:val="auto"/>
                <w:sz w:val="21"/>
                <w:szCs w:val="24"/>
              </w:rPr>
            </w:pPr>
            <w:r>
              <w:rPr>
                <w:rFonts w:ascii="Times New Roman" w:hAnsi="Times New Roman" w:cs="Times New Roman"/>
                <w:color w:val="auto"/>
                <w:sz w:val="21"/>
                <w:szCs w:val="24"/>
                <w:lang w:val="en-US" w:bidi="en-US"/>
              </w:rPr>
              <w:t>=F</w:t>
            </w:r>
            <w:r>
              <w:rPr>
                <w:rFonts w:hint="eastAsia" w:ascii="Times New Roman" w:hAnsi="Times New Roman" w:cs="Times New Roman"/>
                <w:color w:val="auto"/>
                <w:sz w:val="21"/>
                <w:szCs w:val="24"/>
                <w:lang w:eastAsia="zh-CN"/>
              </w:rPr>
              <w:t>－</w:t>
            </w:r>
            <w:r>
              <w:rPr>
                <w:rFonts w:ascii="Times New Roman" w:hAnsi="Times New Roman"/>
                <w:color w:val="auto"/>
                <w:sz w:val="21"/>
                <w:szCs w:val="24"/>
              </w:rPr>
              <w:t>偏差率</w:t>
            </w:r>
            <w:r>
              <w:rPr>
                <w:rFonts w:hint="eastAsia" w:ascii="Times New Roman" w:hAnsi="Times New Roman" w:cs="Times New Roman"/>
                <w:color w:val="auto"/>
                <w:sz w:val="21"/>
                <w:szCs w:val="24"/>
                <w:lang w:val="en-US" w:eastAsia="zh-CN" w:bidi="en-US"/>
              </w:rPr>
              <w:t>×100×E</w:t>
            </w:r>
            <w:r>
              <w:rPr>
                <w:rFonts w:hint="eastAsia" w:ascii="Times New Roman" w:hAnsi="Times New Roman" w:cs="Times New Roman"/>
                <w:color w:val="auto"/>
                <w:sz w:val="21"/>
                <w:szCs w:val="24"/>
                <w:vertAlign w:val="subscript"/>
                <w:lang w:val="en-US" w:eastAsia="zh-CN" w:bidi="en-US"/>
              </w:rPr>
              <w:t>1</w:t>
            </w:r>
            <w:r>
              <w:rPr>
                <w:rFonts w:ascii="Times New Roman" w:hAnsi="Times New Roman"/>
                <w:color w:val="auto"/>
                <w:sz w:val="21"/>
                <w:szCs w:val="24"/>
                <w:lang w:val="en-US" w:bidi="en-US"/>
              </w:rPr>
              <w:t>；</w:t>
            </w:r>
          </w:p>
          <w:p>
            <w:pPr>
              <w:pStyle w:val="6"/>
              <w:wordWrap/>
              <w:spacing w:line="300" w:lineRule="exact"/>
              <w:ind w:firstLine="0" w:firstLineChars="0"/>
              <w:rPr>
                <w:rFonts w:ascii="Times New Roman" w:hAnsi="Times New Roman"/>
                <w:color w:val="auto"/>
                <w:sz w:val="21"/>
                <w:szCs w:val="24"/>
              </w:rPr>
            </w:pPr>
            <w:r>
              <w:rPr>
                <w:rFonts w:ascii="Times New Roman" w:hAnsi="Times New Roman"/>
                <w:color w:val="auto"/>
                <w:sz w:val="21"/>
                <w:szCs w:val="24"/>
              </w:rPr>
              <w:t>（</w:t>
            </w:r>
            <w:r>
              <w:rPr>
                <w:rFonts w:ascii="Times New Roman" w:hAnsi="Times New Roman" w:cs="Times New Roman"/>
                <w:color w:val="auto"/>
                <w:sz w:val="21"/>
                <w:szCs w:val="24"/>
              </w:rPr>
              <w:t>2）</w:t>
            </w:r>
            <w:r>
              <w:rPr>
                <w:rFonts w:ascii="Times New Roman" w:hAnsi="Times New Roman"/>
                <w:color w:val="auto"/>
                <w:sz w:val="21"/>
                <w:szCs w:val="24"/>
              </w:rPr>
              <w:t>如果投标人的评标价</w:t>
            </w:r>
            <w:r>
              <w:rPr>
                <w:rFonts w:hint="eastAsia" w:ascii="Times New Roman" w:hAnsi="Times New Roman"/>
                <w:color w:val="auto"/>
                <w:sz w:val="21"/>
                <w:szCs w:val="24"/>
                <w:lang w:val="en-US" w:eastAsia="zh-CN" w:bidi="en-US"/>
              </w:rPr>
              <w:t>≤</w:t>
            </w:r>
            <w:r>
              <w:rPr>
                <w:rFonts w:ascii="Times New Roman" w:hAnsi="Times New Roman"/>
                <w:color w:val="auto"/>
                <w:sz w:val="21"/>
                <w:szCs w:val="24"/>
              </w:rPr>
              <w:t>评标基准价，则评标价得分</w:t>
            </w:r>
          </w:p>
          <w:p>
            <w:pPr>
              <w:pStyle w:val="6"/>
              <w:wordWrap/>
              <w:spacing w:line="300" w:lineRule="exact"/>
              <w:ind w:firstLine="0" w:firstLineChars="0"/>
              <w:rPr>
                <w:rFonts w:ascii="Times New Roman" w:hAnsi="Times New Roman" w:cs="Times New Roman"/>
                <w:color w:val="auto"/>
                <w:sz w:val="21"/>
                <w:szCs w:val="24"/>
                <w:lang w:val="en-US" w:eastAsia="zh-CN" w:bidi="en-US"/>
              </w:rPr>
            </w:pPr>
            <w:r>
              <w:rPr>
                <w:rFonts w:ascii="Times New Roman" w:hAnsi="Times New Roman" w:cs="Times New Roman"/>
                <w:color w:val="auto"/>
                <w:sz w:val="21"/>
                <w:szCs w:val="24"/>
                <w:lang w:val="en-US" w:eastAsia="zh-CN" w:bidi="en-US"/>
              </w:rPr>
              <w:t>=F+</w:t>
            </w:r>
            <w:r>
              <w:rPr>
                <w:rFonts w:ascii="Times New Roman" w:hAnsi="Times New Roman"/>
                <w:color w:val="auto"/>
                <w:sz w:val="21"/>
                <w:szCs w:val="24"/>
              </w:rPr>
              <w:t>偏差率</w:t>
            </w:r>
            <w:r>
              <w:rPr>
                <w:rFonts w:hint="eastAsia" w:ascii="Times New Roman" w:hAnsi="Times New Roman" w:cs="Times New Roman"/>
                <w:color w:val="auto"/>
                <w:sz w:val="21"/>
                <w:szCs w:val="24"/>
                <w:lang w:val="en-US" w:eastAsia="zh-CN" w:bidi="en-US"/>
              </w:rPr>
              <w:t>×100×E</w:t>
            </w:r>
            <w:r>
              <w:rPr>
                <w:rFonts w:hint="eastAsia" w:ascii="Times New Roman" w:hAnsi="Times New Roman" w:cs="Times New Roman"/>
                <w:color w:val="auto"/>
                <w:sz w:val="21"/>
                <w:szCs w:val="24"/>
                <w:vertAlign w:val="subscript"/>
                <w:lang w:val="en-US" w:eastAsia="zh-CN" w:bidi="en-US"/>
              </w:rPr>
              <w:t>2</w:t>
            </w:r>
            <w:r>
              <w:rPr>
                <w:rFonts w:hint="eastAsia" w:ascii="Times New Roman" w:hAnsi="Times New Roman" w:cs="Times New Roman"/>
                <w:color w:val="auto"/>
                <w:sz w:val="21"/>
                <w:szCs w:val="24"/>
                <w:lang w:val="en-US" w:eastAsia="zh-CN" w:bidi="en-US"/>
              </w:rPr>
              <w:t>。</w:t>
            </w:r>
          </w:p>
          <w:p>
            <w:pPr>
              <w:pStyle w:val="6"/>
              <w:wordWrap/>
              <w:spacing w:line="300" w:lineRule="exact"/>
              <w:ind w:firstLine="0" w:firstLineChars="0"/>
              <w:rPr>
                <w:rFonts w:ascii="Times New Roman" w:hAnsi="Times New Roman" w:cs="Times New Roman"/>
                <w:color w:val="auto"/>
                <w:sz w:val="21"/>
                <w:szCs w:val="24"/>
                <w:lang w:val="en-US" w:eastAsia="zh-CN" w:bidi="en-US"/>
              </w:rPr>
            </w:pPr>
            <w:r>
              <w:rPr>
                <w:rFonts w:hint="eastAsia" w:ascii="Times New Roman" w:hAnsi="Times New Roman" w:cs="Times New Roman"/>
                <w:color w:val="auto"/>
                <w:sz w:val="21"/>
                <w:szCs w:val="24"/>
                <w:lang w:val="en-US" w:eastAsia="zh-CN" w:bidi="en-US"/>
              </w:rPr>
              <w:t>本项目E1=</w:t>
            </w:r>
            <w:r>
              <w:rPr>
                <w:rFonts w:hint="eastAsia" w:ascii="Times New Roman" w:hAnsi="Times New Roman" w:cs="Times New Roman"/>
                <w:color w:val="auto"/>
                <w:sz w:val="21"/>
                <w:szCs w:val="24"/>
                <w:u w:val="single"/>
                <w:lang w:val="en-US" w:eastAsia="zh-CN" w:bidi="en-US"/>
              </w:rPr>
              <w:t xml:space="preserve"> 1.5 </w:t>
            </w:r>
            <w:r>
              <w:rPr>
                <w:rFonts w:hint="eastAsia" w:ascii="Times New Roman" w:hAnsi="Times New Roman" w:cs="Times New Roman"/>
                <w:color w:val="auto"/>
                <w:sz w:val="21"/>
                <w:szCs w:val="24"/>
                <w:lang w:val="en-US" w:eastAsia="zh-CN" w:bidi="en-US"/>
              </w:rPr>
              <w:t>；E2=</w:t>
            </w:r>
            <w:r>
              <w:rPr>
                <w:rFonts w:hint="eastAsia" w:ascii="Times New Roman" w:hAnsi="Times New Roman" w:cs="Times New Roman"/>
                <w:color w:val="auto"/>
                <w:sz w:val="21"/>
                <w:szCs w:val="24"/>
                <w:u w:val="single"/>
                <w:lang w:val="en-US" w:eastAsia="zh-CN" w:bidi="en-US"/>
              </w:rPr>
              <w:t xml:space="preserve"> 1.0 </w:t>
            </w:r>
            <w:r>
              <w:rPr>
                <w:rFonts w:hint="eastAsia" w:ascii="Times New Roman" w:hAnsi="Times New Roman" w:cs="Times New Roman"/>
                <w:color w:val="auto"/>
                <w:sz w:val="21"/>
                <w:szCs w:val="24"/>
                <w:lang w:val="en-US" w:eastAsia="zh-CN" w:bidi="en-US"/>
              </w:rPr>
              <w:t>。</w:t>
            </w:r>
          </w:p>
          <w:p>
            <w:pPr>
              <w:pStyle w:val="6"/>
              <w:wordWrap/>
              <w:spacing w:line="300" w:lineRule="exact"/>
              <w:ind w:firstLine="0" w:firstLineChars="0"/>
              <w:rPr>
                <w:rFonts w:ascii="Times New Roman" w:hAnsi="Times New Roman" w:cs="Times New Roman"/>
                <w:color w:val="auto"/>
                <w:sz w:val="21"/>
                <w:szCs w:val="21"/>
                <w:lang w:val="en-US" w:eastAsia="zh-CN" w:bidi="en-US"/>
              </w:rPr>
            </w:pPr>
            <w:r>
              <w:rPr>
                <w:rFonts w:ascii="Times New Roman" w:hAnsi="Times New Roman"/>
                <w:color w:val="auto"/>
                <w:sz w:val="21"/>
                <w:szCs w:val="21"/>
              </w:rPr>
              <w:t>其中：</w:t>
            </w:r>
            <w:r>
              <w:rPr>
                <w:rFonts w:ascii="Times New Roman" w:hAnsi="Times New Roman" w:cs="Times New Roman"/>
                <w:color w:val="auto"/>
                <w:sz w:val="21"/>
                <w:szCs w:val="21"/>
                <w:lang w:val="en-US" w:eastAsia="zh-CN" w:bidi="en-US"/>
              </w:rPr>
              <w:t>F</w:t>
            </w:r>
            <w:r>
              <w:rPr>
                <w:rFonts w:ascii="Times New Roman" w:hAnsi="Times New Roman"/>
                <w:color w:val="auto"/>
                <w:sz w:val="21"/>
                <w:szCs w:val="21"/>
              </w:rPr>
              <w:t>是评标价所占的权重分值，</w:t>
            </w:r>
            <w:r>
              <w:rPr>
                <w:rFonts w:hint="eastAsia" w:ascii="Times New Roman" w:hAnsi="Times New Roman" w:cs="Times New Roman"/>
                <w:color w:val="auto"/>
                <w:sz w:val="21"/>
                <w:szCs w:val="21"/>
                <w:lang w:val="en-US" w:eastAsia="zh-CN" w:bidi="en-US"/>
              </w:rPr>
              <w:t>E</w:t>
            </w:r>
            <w:r>
              <w:rPr>
                <w:rFonts w:hint="eastAsia" w:ascii="Times New Roman" w:hAnsi="Times New Roman" w:cs="Times New Roman"/>
                <w:color w:val="auto"/>
                <w:sz w:val="21"/>
                <w:szCs w:val="21"/>
                <w:vertAlign w:val="subscript"/>
                <w:lang w:val="en-US" w:eastAsia="zh-CN" w:bidi="en-US"/>
              </w:rPr>
              <w:t>1</w:t>
            </w:r>
            <w:r>
              <w:rPr>
                <w:rFonts w:ascii="Times New Roman" w:hAnsi="Times New Roman"/>
                <w:color w:val="auto"/>
                <w:sz w:val="21"/>
                <w:szCs w:val="21"/>
              </w:rPr>
              <w:t>是评标价每高于评标基准价一个百分点的扣分值，</w:t>
            </w:r>
            <w:r>
              <w:rPr>
                <w:rFonts w:hint="eastAsia" w:ascii="Times New Roman" w:hAnsi="Times New Roman" w:cs="Times New Roman"/>
                <w:color w:val="auto"/>
                <w:sz w:val="21"/>
                <w:szCs w:val="21"/>
                <w:lang w:val="en-US" w:eastAsia="zh-CN" w:bidi="en-US"/>
              </w:rPr>
              <w:t>E</w:t>
            </w:r>
            <w:r>
              <w:rPr>
                <w:rFonts w:hint="eastAsia" w:ascii="Times New Roman" w:hAnsi="Times New Roman" w:cs="Times New Roman"/>
                <w:color w:val="auto"/>
                <w:sz w:val="21"/>
                <w:szCs w:val="21"/>
                <w:vertAlign w:val="subscript"/>
                <w:lang w:val="en-US" w:eastAsia="zh-CN" w:bidi="en-US"/>
              </w:rPr>
              <w:t>2</w:t>
            </w:r>
            <w:r>
              <w:rPr>
                <w:rFonts w:ascii="Times New Roman" w:hAnsi="Times New Roman"/>
                <w:color w:val="auto"/>
                <w:sz w:val="21"/>
                <w:szCs w:val="21"/>
              </w:rPr>
              <w:t>是评标价每低于评标基准价一个百分点的扣分值</w:t>
            </w:r>
            <w:r>
              <w:rPr>
                <w:rFonts w:hint="eastAsia" w:ascii="Times New Roman" w:hAnsi="Times New Roman"/>
                <w:color w:val="auto"/>
                <w:sz w:val="21"/>
                <w:szCs w:val="21"/>
                <w:lang w:eastAsia="zh-CN"/>
              </w:rPr>
              <w:t>，</w:t>
            </w:r>
            <w:r>
              <w:rPr>
                <w:rFonts w:ascii="Times New Roman" w:hAnsi="Times New Roman"/>
                <w:color w:val="auto"/>
                <w:sz w:val="21"/>
                <w:szCs w:val="21"/>
              </w:rPr>
              <w:t>招标人可依据招标项目具体特点和实际需要设置</w:t>
            </w:r>
            <w:r>
              <w:rPr>
                <w:rFonts w:hint="eastAsia" w:ascii="Times New Roman" w:hAnsi="Times New Roman" w:cs="Times New Roman"/>
                <w:color w:val="auto"/>
                <w:sz w:val="21"/>
                <w:szCs w:val="21"/>
                <w:lang w:val="en-US" w:eastAsia="zh-CN" w:bidi="en-US"/>
              </w:rPr>
              <w:t>E</w:t>
            </w:r>
            <w:r>
              <w:rPr>
                <w:rFonts w:hint="eastAsia" w:ascii="Times New Roman" w:hAnsi="Times New Roman" w:cs="Times New Roman"/>
                <w:color w:val="auto"/>
                <w:sz w:val="21"/>
                <w:szCs w:val="21"/>
                <w:vertAlign w:val="subscript"/>
                <w:lang w:val="en-US" w:eastAsia="zh-CN" w:bidi="en-US"/>
              </w:rPr>
              <w:t>1</w:t>
            </w:r>
            <w:r>
              <w:rPr>
                <w:rFonts w:ascii="Times New Roman" w:hAnsi="Times New Roman"/>
                <w:color w:val="auto"/>
                <w:sz w:val="21"/>
                <w:szCs w:val="21"/>
                <w:lang w:val="en-US" w:eastAsia="zh-CN" w:bidi="en-US"/>
              </w:rPr>
              <w:t>、</w:t>
            </w:r>
            <w:r>
              <w:rPr>
                <w:rFonts w:hint="eastAsia" w:ascii="Times New Roman" w:hAnsi="Times New Roman" w:cs="Times New Roman"/>
                <w:color w:val="auto"/>
                <w:sz w:val="21"/>
                <w:szCs w:val="21"/>
                <w:lang w:val="en-US" w:eastAsia="zh-CN" w:bidi="en-US"/>
              </w:rPr>
              <w:t>E</w:t>
            </w:r>
            <w:r>
              <w:rPr>
                <w:rFonts w:hint="eastAsia" w:ascii="Times New Roman" w:hAnsi="Times New Roman" w:cs="Times New Roman"/>
                <w:color w:val="auto"/>
                <w:sz w:val="21"/>
                <w:szCs w:val="21"/>
                <w:vertAlign w:val="subscript"/>
                <w:lang w:val="en-US" w:eastAsia="zh-CN" w:bidi="en-US"/>
              </w:rPr>
              <w:t>2</w:t>
            </w:r>
            <w:r>
              <w:rPr>
                <w:rFonts w:hint="eastAsia" w:ascii="Times New Roman" w:hAnsi="Times New Roman" w:cs="Times New Roman"/>
                <w:color w:val="auto"/>
                <w:sz w:val="21"/>
                <w:szCs w:val="21"/>
                <w:lang w:val="en-US" w:eastAsia="zh-CN" w:bidi="en-US"/>
              </w:rPr>
              <w:t>，但E</w:t>
            </w:r>
            <w:r>
              <w:rPr>
                <w:rFonts w:hint="eastAsia" w:ascii="Times New Roman" w:hAnsi="Times New Roman" w:cs="Times New Roman"/>
                <w:color w:val="auto"/>
                <w:sz w:val="21"/>
                <w:szCs w:val="21"/>
                <w:vertAlign w:val="subscript"/>
                <w:lang w:val="en-US" w:eastAsia="zh-CN" w:bidi="en-US"/>
              </w:rPr>
              <w:t>1</w:t>
            </w:r>
            <w:r>
              <w:rPr>
                <w:rFonts w:hint="eastAsia" w:ascii="Times New Roman" w:hAnsi="Times New Roman" w:cs="Times New Roman"/>
                <w:color w:val="auto"/>
                <w:sz w:val="21"/>
                <w:szCs w:val="21"/>
                <w:lang w:val="en-US" w:eastAsia="zh-CN" w:bidi="en-US"/>
              </w:rPr>
              <w:t>应大于E</w:t>
            </w:r>
            <w:r>
              <w:rPr>
                <w:rFonts w:hint="eastAsia" w:ascii="Times New Roman" w:hAnsi="Times New Roman" w:cs="Times New Roman"/>
                <w:color w:val="auto"/>
                <w:sz w:val="21"/>
                <w:szCs w:val="21"/>
                <w:vertAlign w:val="subscript"/>
                <w:lang w:val="en-US" w:eastAsia="zh-CN" w:bidi="en-US"/>
              </w:rPr>
              <w:t>2</w:t>
            </w:r>
            <w:r>
              <w:rPr>
                <w:rFonts w:hint="eastAsia" w:ascii="Times New Roman" w:hAnsi="Times New Roman" w:cs="Times New Roman"/>
                <w:color w:val="auto"/>
                <w:sz w:val="21"/>
                <w:szCs w:val="21"/>
                <w:lang w:val="en-US" w:eastAsia="zh-CN" w:bidi="en-US"/>
              </w:rPr>
              <w:t>。</w:t>
            </w:r>
          </w:p>
          <w:p>
            <w:pPr>
              <w:pStyle w:val="6"/>
              <w:wordWrap/>
              <w:spacing w:line="300" w:lineRule="exact"/>
              <w:ind w:firstLine="0" w:firstLineChars="0"/>
              <w:rPr>
                <w:rFonts w:ascii="Times New Roman" w:hAnsi="Times New Roman" w:cs="Times New Roman"/>
                <w:color w:val="auto"/>
                <w:sz w:val="21"/>
                <w:szCs w:val="21"/>
                <w:lang w:val="en-US" w:eastAsia="zh-CN" w:bidi="en-US"/>
              </w:rPr>
            </w:pPr>
            <w:r>
              <w:rPr>
                <w:rFonts w:hint="eastAsia" w:ascii="Times New Roman" w:hAnsi="Times New Roman" w:cs="Times New Roman"/>
                <w:color w:val="auto"/>
                <w:sz w:val="21"/>
                <w:szCs w:val="21"/>
                <w:lang w:val="en-US" w:eastAsia="zh-CN" w:bidi="en-US"/>
              </w:rPr>
              <w:t>投标报价得分保留小数点后五位，小数点后第六位“四舍五入”，最低得零分。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844" w:hRule="atLeast"/>
          <w:jc w:val="center"/>
        </w:trPr>
        <w:tc>
          <w:tcPr>
            <w:tcW w:w="9107" w:type="dxa"/>
            <w:gridSpan w:val="5"/>
            <w:noWrap w:val="0"/>
            <w:vAlign w:val="center"/>
          </w:tcPr>
          <w:p>
            <w:pPr>
              <w:spacing w:line="300" w:lineRule="exact"/>
              <w:ind w:firstLine="420"/>
              <w:jc w:val="left"/>
            </w:pPr>
            <w:r>
              <w:rPr>
                <w:rFonts w:ascii="宋体" w:hAnsi="宋体"/>
              </w:rPr>
              <w:t>本次评标采用综合</w:t>
            </w:r>
            <w:r>
              <w:rPr>
                <w:rFonts w:hint="eastAsia" w:ascii="宋体" w:hAnsi="宋体"/>
              </w:rPr>
              <w:t>评估</w:t>
            </w:r>
            <w:r>
              <w:rPr>
                <w:rFonts w:ascii="宋体" w:hAnsi="宋体"/>
              </w:rPr>
              <w:t xml:space="preserve">法。评标委员会对满足招标文件实质性要求的投标文件，按照本章第 2.2 款规定的评分标准进行打分，并按得分由高到低顺序推荐中标候选人，或根据招标人授权直接确定中标人，但投标报价低于其成本的除外。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794" w:hRule="atLeast"/>
          <w:jc w:val="center"/>
        </w:trPr>
        <w:tc>
          <w:tcPr>
            <w:tcW w:w="9107" w:type="dxa"/>
            <w:gridSpan w:val="5"/>
            <w:noWrap w:val="0"/>
            <w:vAlign w:val="center"/>
          </w:tcPr>
          <w:p>
            <w:pPr>
              <w:spacing w:line="300" w:lineRule="exact"/>
              <w:ind w:firstLine="420"/>
              <w:jc w:val="left"/>
              <w:rPr>
                <w:rFonts w:ascii="宋体" w:hAnsi="宋体"/>
              </w:rPr>
            </w:pPr>
            <w:r>
              <w:rPr>
                <w:rFonts w:hint="eastAsia" w:ascii="宋体" w:hAnsi="宋体"/>
              </w:rPr>
              <w:t>3.1   初步评审</w:t>
            </w:r>
          </w:p>
          <w:p>
            <w:pPr>
              <w:spacing w:line="300" w:lineRule="exact"/>
              <w:ind w:firstLine="420"/>
              <w:jc w:val="left"/>
              <w:rPr>
                <w:rFonts w:ascii="宋体" w:hAnsi="宋体"/>
              </w:rPr>
            </w:pPr>
            <w:r>
              <w:rPr>
                <w:rFonts w:hint="eastAsia" w:ascii="宋体" w:hAnsi="宋体"/>
              </w:rPr>
              <w:t>3.1.1  评标委员会依据本章第2.1款规定的标准对投标文件进行初步评审。有一项不符合评审标准的，评标委员会应否决其投标。</w:t>
            </w:r>
          </w:p>
          <w:p>
            <w:pPr>
              <w:spacing w:line="300" w:lineRule="exact"/>
              <w:ind w:firstLine="420"/>
              <w:jc w:val="left"/>
              <w:rPr>
                <w:rFonts w:ascii="宋体" w:hAnsi="宋体"/>
              </w:rPr>
            </w:pPr>
            <w:r>
              <w:rPr>
                <w:rFonts w:hint="eastAsia" w:ascii="宋体" w:hAnsi="宋体"/>
              </w:rPr>
              <w:t>3.2   详细评审</w:t>
            </w:r>
          </w:p>
          <w:p>
            <w:pPr>
              <w:spacing w:line="300" w:lineRule="exact"/>
              <w:ind w:firstLine="420"/>
              <w:jc w:val="left"/>
              <w:rPr>
                <w:rFonts w:ascii="宋体" w:hAnsi="宋体"/>
              </w:rPr>
            </w:pPr>
            <w:r>
              <w:rPr>
                <w:rFonts w:hint="eastAsia" w:ascii="宋体" w:hAnsi="宋体"/>
              </w:rPr>
              <w:t>3.2.1  评标委员会按本章第2.2款规定的量化因素和分值进行打分，并计算出各投标人的商务和技术得分。</w:t>
            </w:r>
          </w:p>
          <w:p>
            <w:pPr>
              <w:spacing w:line="300" w:lineRule="exact"/>
              <w:ind w:firstLine="420"/>
              <w:jc w:val="left"/>
              <w:rPr>
                <w:rFonts w:ascii="宋体" w:hAnsi="宋体"/>
              </w:rPr>
            </w:pPr>
            <w:r>
              <w:rPr>
                <w:rFonts w:hint="eastAsia" w:ascii="宋体" w:hAnsi="宋体"/>
              </w:rPr>
              <w:t>（</w:t>
            </w:r>
            <w:r>
              <w:rPr>
                <w:rFonts w:ascii="宋体" w:hAnsi="宋体"/>
              </w:rPr>
              <w:t>1</w:t>
            </w:r>
            <w:r>
              <w:rPr>
                <w:rFonts w:hint="eastAsia" w:ascii="宋体" w:hAnsi="宋体"/>
              </w:rPr>
              <w:t>）按本章第2.2.4项（</w:t>
            </w:r>
            <w:r>
              <w:rPr>
                <w:rFonts w:ascii="宋体" w:hAnsi="宋体"/>
              </w:rPr>
              <w:t>1</w:t>
            </w:r>
            <w:r>
              <w:rPr>
                <w:rFonts w:hint="eastAsia" w:ascii="宋体" w:hAnsi="宋体"/>
              </w:rPr>
              <w:t>）目规定的评审因素和分值对主要人员部分计算出得分</w:t>
            </w:r>
            <w:r>
              <w:rPr>
                <w:rFonts w:ascii="宋体" w:hAnsi="宋体"/>
              </w:rPr>
              <w:t>A</w:t>
            </w:r>
            <w:r>
              <w:rPr>
                <w:rFonts w:hint="eastAsia" w:ascii="宋体" w:hAnsi="宋体"/>
              </w:rPr>
              <w:t>；</w:t>
            </w:r>
          </w:p>
          <w:p>
            <w:pPr>
              <w:spacing w:line="300" w:lineRule="exact"/>
              <w:ind w:firstLine="430"/>
              <w:jc w:val="left"/>
              <w:rPr>
                <w:rFonts w:ascii="宋体" w:hAnsi="宋体"/>
              </w:rPr>
            </w:pPr>
            <w:r>
              <w:rPr>
                <w:rFonts w:hint="eastAsia" w:ascii="宋体" w:hAnsi="宋体"/>
              </w:rPr>
              <w:t>（2）按本章第2.2.4项（</w:t>
            </w:r>
            <w:r>
              <w:rPr>
                <w:rFonts w:ascii="宋体" w:hAnsi="宋体"/>
              </w:rPr>
              <w:t>2</w:t>
            </w:r>
            <w:r>
              <w:rPr>
                <w:rFonts w:hint="eastAsia" w:ascii="宋体" w:hAnsi="宋体"/>
              </w:rPr>
              <w:t>）目规定的评审因素和分值对企业业绩部分计算出得分</w:t>
            </w:r>
            <w:r>
              <w:rPr>
                <w:rFonts w:ascii="宋体" w:hAnsi="宋体"/>
              </w:rPr>
              <w:t>B</w:t>
            </w:r>
            <w:r>
              <w:rPr>
                <w:rFonts w:hint="eastAsia" w:ascii="宋体" w:hAnsi="宋体"/>
              </w:rPr>
              <w:t>；</w:t>
            </w:r>
          </w:p>
          <w:p>
            <w:pPr>
              <w:spacing w:line="300" w:lineRule="exact"/>
              <w:ind w:firstLine="420"/>
              <w:jc w:val="left"/>
              <w:rPr>
                <w:rFonts w:ascii="宋体" w:hAnsi="宋体"/>
              </w:rPr>
            </w:pPr>
            <w:r>
              <w:rPr>
                <w:rFonts w:hint="eastAsia" w:ascii="宋体" w:hAnsi="宋体"/>
              </w:rPr>
              <w:t>（</w:t>
            </w:r>
            <w:r>
              <w:rPr>
                <w:rFonts w:ascii="宋体" w:hAnsi="宋体"/>
              </w:rPr>
              <w:t>3</w:t>
            </w:r>
            <w:r>
              <w:rPr>
                <w:rFonts w:hint="eastAsia" w:ascii="宋体" w:hAnsi="宋体"/>
              </w:rPr>
              <w:t>）按本章第2.2.4项（</w:t>
            </w:r>
            <w:r>
              <w:rPr>
                <w:rFonts w:ascii="宋体" w:hAnsi="宋体"/>
              </w:rPr>
              <w:t>3</w:t>
            </w:r>
            <w:r>
              <w:rPr>
                <w:rFonts w:hint="eastAsia" w:ascii="宋体" w:hAnsi="宋体"/>
              </w:rPr>
              <w:t>）目规定的评审因素和分值对评标价部分计算出得分</w:t>
            </w:r>
            <w:r>
              <w:rPr>
                <w:rFonts w:ascii="宋体" w:hAnsi="宋体"/>
              </w:rPr>
              <w:t>C</w:t>
            </w:r>
            <w:r>
              <w:rPr>
                <w:rFonts w:hint="eastAsia" w:ascii="宋体" w:hAnsi="宋体"/>
              </w:rPr>
              <w:t>。</w:t>
            </w:r>
          </w:p>
          <w:p>
            <w:pPr>
              <w:spacing w:line="300" w:lineRule="exact"/>
              <w:ind w:firstLine="420"/>
              <w:jc w:val="left"/>
              <w:rPr>
                <w:rFonts w:ascii="宋体" w:hAnsi="宋体"/>
              </w:rPr>
            </w:pPr>
            <w:r>
              <w:rPr>
                <w:rFonts w:hint="eastAsia" w:ascii="宋体" w:hAnsi="宋体"/>
              </w:rPr>
              <w:t>3.2.2  投标人的商务和技术得分分值计算保留小数点后两位，小数点后第三位“四舍五入”。（小数点的保留以交易系统统计计算为准）</w:t>
            </w:r>
          </w:p>
          <w:p>
            <w:pPr>
              <w:spacing w:line="300" w:lineRule="exact"/>
              <w:ind w:firstLine="420"/>
              <w:jc w:val="left"/>
              <w:rPr>
                <w:rFonts w:ascii="宋体" w:hAnsi="宋体"/>
              </w:rPr>
            </w:pPr>
            <w:r>
              <w:rPr>
                <w:rFonts w:hint="eastAsia" w:ascii="宋体" w:hAnsi="宋体"/>
              </w:rPr>
              <w:t>3.2.3  投标人的综合得分=A+B+C。</w:t>
            </w:r>
          </w:p>
        </w:tc>
      </w:tr>
    </w:tbl>
    <w:p>
      <w:pPr>
        <w:pStyle w:val="3"/>
        <w:spacing w:line="500" w:lineRule="exact"/>
        <w:rPr>
          <w:rFonts w:ascii="宋体" w:hAnsi="宋体" w:eastAsia="宋体"/>
          <w:b w:val="0"/>
          <w:bCs/>
        </w:rPr>
        <w:sectPr>
          <w:pgSz w:w="11910" w:h="16840"/>
          <w:pgMar w:top="1134" w:right="1134" w:bottom="1134" w:left="1134" w:header="889" w:footer="1060" w:gutter="0"/>
          <w:cols w:space="720" w:num="1"/>
        </w:sectPr>
      </w:pPr>
    </w:p>
    <w:bookmarkEnd w:id="2"/>
    <w:bookmarkEnd w:id="3"/>
    <w:bookmarkEnd w:id="4"/>
    <w:bookmarkEnd w:id="5"/>
    <w:bookmarkEnd w:id="6"/>
    <w:p>
      <w:pPr>
        <w:spacing w:line="500" w:lineRule="exact"/>
        <w:ind w:firstLine="480" w:firstLineChars="200"/>
        <w:rPr>
          <w:rFonts w:hint="eastAsia" w:ascii="宋体" w:hAnsi="宋体"/>
          <w:bCs/>
          <w:sz w:val="24"/>
          <w:szCs w:val="24"/>
        </w:rPr>
      </w:pPr>
      <w:r>
        <w:rPr>
          <w:rFonts w:hint="eastAsia" w:ascii="宋体" w:hAnsi="宋体"/>
          <w:bCs/>
          <w:sz w:val="24"/>
          <w:szCs w:val="24"/>
        </w:rPr>
        <w:t>1.评标方法</w:t>
      </w:r>
    </w:p>
    <w:p>
      <w:pPr>
        <w:spacing w:line="500" w:lineRule="exact"/>
        <w:ind w:firstLine="480" w:firstLineChars="200"/>
        <w:rPr>
          <w:rFonts w:hint="eastAsia" w:ascii="宋体" w:hAnsi="宋体"/>
          <w:bCs/>
          <w:sz w:val="24"/>
          <w:szCs w:val="24"/>
        </w:rPr>
      </w:pPr>
      <w:r>
        <w:rPr>
          <w:rFonts w:hint="eastAsia" w:ascii="宋体" w:hAnsi="宋体"/>
          <w:bCs/>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500" w:lineRule="exact"/>
        <w:ind w:firstLine="480" w:firstLineChars="200"/>
        <w:rPr>
          <w:rFonts w:hint="eastAsia" w:ascii="宋体" w:hAnsi="宋体"/>
          <w:bCs/>
          <w:sz w:val="24"/>
          <w:szCs w:val="24"/>
        </w:rPr>
      </w:pPr>
      <w:r>
        <w:rPr>
          <w:rFonts w:hint="eastAsia" w:ascii="宋体" w:hAnsi="宋体"/>
          <w:bCs/>
          <w:sz w:val="24"/>
          <w:szCs w:val="24"/>
        </w:rPr>
        <w:t>2.评审标准</w:t>
      </w:r>
    </w:p>
    <w:p>
      <w:pPr>
        <w:spacing w:line="500" w:lineRule="exact"/>
        <w:ind w:firstLine="480" w:firstLineChars="200"/>
        <w:rPr>
          <w:rFonts w:hint="eastAsia" w:ascii="宋体" w:hAnsi="宋体"/>
          <w:bCs/>
          <w:sz w:val="24"/>
          <w:szCs w:val="24"/>
        </w:rPr>
      </w:pPr>
      <w:r>
        <w:rPr>
          <w:rFonts w:hint="eastAsia" w:ascii="宋体" w:hAnsi="宋体"/>
          <w:bCs/>
          <w:sz w:val="24"/>
          <w:szCs w:val="24"/>
        </w:rPr>
        <w:t>2.1   初步评审标准</w:t>
      </w:r>
    </w:p>
    <w:p>
      <w:pPr>
        <w:spacing w:line="500" w:lineRule="exact"/>
        <w:ind w:firstLine="480" w:firstLineChars="200"/>
        <w:rPr>
          <w:rFonts w:hint="eastAsia" w:ascii="宋体" w:hAnsi="宋体"/>
          <w:bCs/>
          <w:sz w:val="24"/>
          <w:szCs w:val="24"/>
        </w:rPr>
      </w:pPr>
      <w:r>
        <w:rPr>
          <w:rFonts w:hint="eastAsia" w:ascii="宋体" w:hAnsi="宋体"/>
          <w:bCs/>
          <w:sz w:val="24"/>
          <w:szCs w:val="24"/>
        </w:rPr>
        <w:t>2.1.1   形式评审标准：见评标办法前附表。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2.1.2   资格评审标准：见评标办法前附表。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2.1.3   响应性评审标准：见评标办法前附表。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2.2   分值构成与评分标准</w:t>
      </w:r>
    </w:p>
    <w:p>
      <w:pPr>
        <w:spacing w:line="500" w:lineRule="exact"/>
        <w:ind w:firstLine="480" w:firstLineChars="200"/>
        <w:rPr>
          <w:rFonts w:hint="eastAsia" w:ascii="宋体" w:hAnsi="宋体"/>
          <w:bCs/>
          <w:sz w:val="24"/>
          <w:szCs w:val="24"/>
        </w:rPr>
      </w:pPr>
      <w:r>
        <w:rPr>
          <w:rFonts w:hint="eastAsia" w:ascii="宋体" w:hAnsi="宋体"/>
          <w:bCs/>
          <w:sz w:val="24"/>
          <w:szCs w:val="24"/>
        </w:rPr>
        <w:t>2.2.1   分值构成</w:t>
      </w:r>
    </w:p>
    <w:p>
      <w:pPr>
        <w:spacing w:line="500" w:lineRule="exact"/>
        <w:ind w:firstLine="480" w:firstLineChars="200"/>
        <w:rPr>
          <w:rFonts w:hint="eastAsia" w:ascii="宋体" w:hAnsi="宋体"/>
          <w:bCs/>
          <w:sz w:val="24"/>
          <w:szCs w:val="24"/>
        </w:rPr>
      </w:pPr>
      <w:r>
        <w:rPr>
          <w:rFonts w:hint="eastAsia" w:ascii="宋体" w:hAnsi="宋体"/>
          <w:bCs/>
          <w:sz w:val="24"/>
          <w:szCs w:val="24"/>
        </w:rPr>
        <w:t>（1）主要人员：见评标办法前附表；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（2）企业业绩：见评标办法前附表；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（3）评标价：见评标办法前附表。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2.2.2   评标基准价计算</w:t>
      </w:r>
    </w:p>
    <w:p>
      <w:pPr>
        <w:spacing w:line="500" w:lineRule="exact"/>
        <w:ind w:firstLine="480" w:firstLineChars="200"/>
        <w:rPr>
          <w:rFonts w:hint="eastAsia" w:ascii="宋体" w:hAnsi="宋体"/>
          <w:bCs/>
          <w:sz w:val="24"/>
          <w:szCs w:val="24"/>
        </w:rPr>
      </w:pPr>
      <w:r>
        <w:rPr>
          <w:rFonts w:hint="eastAsia" w:ascii="宋体" w:hAnsi="宋体"/>
          <w:bCs/>
          <w:sz w:val="24"/>
          <w:szCs w:val="24"/>
        </w:rPr>
        <w:t>评标基准价计算方法：见评标办法前附表。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2.2.3   评标价的偏差率计算</w:t>
      </w:r>
    </w:p>
    <w:p>
      <w:pPr>
        <w:spacing w:line="500" w:lineRule="exact"/>
        <w:ind w:firstLine="480" w:firstLineChars="200"/>
        <w:rPr>
          <w:rFonts w:hint="eastAsia" w:ascii="宋体" w:hAnsi="宋体"/>
          <w:bCs/>
          <w:sz w:val="24"/>
          <w:szCs w:val="24"/>
        </w:rPr>
      </w:pPr>
      <w:r>
        <w:rPr>
          <w:rFonts w:hint="eastAsia" w:ascii="宋体" w:hAnsi="宋体"/>
          <w:bCs/>
          <w:sz w:val="24"/>
          <w:szCs w:val="24"/>
        </w:rPr>
        <w:t>评标价的偏差率计算公式：见评标办法前附表。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2.2.4   评分标准</w:t>
      </w:r>
    </w:p>
    <w:p>
      <w:pPr>
        <w:spacing w:line="500" w:lineRule="exact"/>
        <w:ind w:firstLine="480" w:firstLineChars="200"/>
        <w:rPr>
          <w:rFonts w:hint="eastAsia" w:ascii="宋体" w:hAnsi="宋体"/>
          <w:bCs/>
          <w:sz w:val="24"/>
          <w:szCs w:val="24"/>
        </w:rPr>
      </w:pPr>
      <w:r>
        <w:rPr>
          <w:rFonts w:hint="eastAsia" w:ascii="宋体" w:hAnsi="宋体"/>
          <w:bCs/>
          <w:sz w:val="24"/>
          <w:szCs w:val="24"/>
        </w:rPr>
        <w:t>（1）主要人员评分标准：见评标办法前附表；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（2）企业业绩评分标准：见评标办法前附表；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（3）评标价评分标准：见评标办法前附表。</w:t>
      </w:r>
    </w:p>
    <w:p>
      <w:pPr>
        <w:spacing w:line="500" w:lineRule="exact"/>
        <w:ind w:firstLine="480" w:firstLineChars="200"/>
        <w:rPr>
          <w:rFonts w:hint="eastAsia" w:ascii="宋体" w:hAnsi="宋体"/>
          <w:bCs/>
          <w:sz w:val="24"/>
          <w:szCs w:val="24"/>
        </w:rPr>
      </w:pPr>
      <w:r>
        <w:rPr>
          <w:rFonts w:hint="eastAsia" w:ascii="宋体" w:hAnsi="宋体"/>
          <w:bCs/>
          <w:sz w:val="24"/>
          <w:szCs w:val="24"/>
        </w:rPr>
        <w:t>3. 评标程序</w:t>
      </w:r>
    </w:p>
    <w:p>
      <w:pPr>
        <w:spacing w:line="500" w:lineRule="exact"/>
        <w:ind w:firstLine="480" w:firstLineChars="200"/>
        <w:rPr>
          <w:rFonts w:hint="eastAsia" w:ascii="宋体" w:hAnsi="宋体"/>
          <w:bCs/>
          <w:sz w:val="24"/>
          <w:szCs w:val="24"/>
        </w:rPr>
      </w:pPr>
      <w:r>
        <w:rPr>
          <w:rFonts w:hint="eastAsia" w:ascii="宋体" w:hAnsi="宋体"/>
          <w:bCs/>
          <w:sz w:val="24"/>
          <w:szCs w:val="24"/>
        </w:rPr>
        <w:t>3.1   初步评审</w:t>
      </w:r>
    </w:p>
    <w:p>
      <w:pPr>
        <w:spacing w:line="500" w:lineRule="exact"/>
        <w:ind w:firstLine="480" w:firstLineChars="200"/>
        <w:rPr>
          <w:rFonts w:hint="eastAsia" w:ascii="宋体" w:hAnsi="宋体"/>
          <w:bCs/>
          <w:sz w:val="24"/>
          <w:szCs w:val="24"/>
        </w:rPr>
      </w:pPr>
      <w:r>
        <w:rPr>
          <w:rFonts w:hint="eastAsia" w:ascii="宋体" w:hAnsi="宋体"/>
          <w:bCs/>
          <w:sz w:val="24"/>
          <w:szCs w:val="24"/>
        </w:rPr>
        <w:t>3.1.1  评标委员会依据本章第2.1款规定的标准对投标文件进行初步评审。有一项不符合评审标准的，评标委员会应否决其投标。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3.2   详细评审</w:t>
      </w:r>
    </w:p>
    <w:p>
      <w:pPr>
        <w:spacing w:line="500" w:lineRule="exact"/>
        <w:ind w:firstLine="480" w:firstLineChars="200"/>
        <w:rPr>
          <w:rFonts w:hint="eastAsia" w:ascii="宋体" w:hAnsi="宋体"/>
          <w:bCs/>
          <w:sz w:val="24"/>
          <w:szCs w:val="24"/>
        </w:rPr>
      </w:pPr>
      <w:r>
        <w:rPr>
          <w:rFonts w:hint="eastAsia" w:ascii="宋体" w:hAnsi="宋体"/>
          <w:bCs/>
          <w:sz w:val="24"/>
          <w:szCs w:val="24"/>
        </w:rPr>
        <w:t>3.2.1  评标委员会按本章第2.2款规定的量化因素和分值进行打分，并计算出各投标人的最终得分。</w:t>
      </w:r>
    </w:p>
    <w:p>
      <w:pPr>
        <w:spacing w:line="500" w:lineRule="exact"/>
        <w:ind w:firstLine="480" w:firstLineChars="200"/>
        <w:rPr>
          <w:rFonts w:hint="eastAsia" w:ascii="宋体" w:hAnsi="宋体"/>
          <w:bCs/>
          <w:sz w:val="24"/>
          <w:szCs w:val="24"/>
        </w:rPr>
      </w:pPr>
      <w:r>
        <w:rPr>
          <w:rFonts w:hint="eastAsia" w:ascii="宋体" w:hAnsi="宋体"/>
          <w:bCs/>
          <w:sz w:val="24"/>
          <w:szCs w:val="24"/>
        </w:rPr>
        <w:t>3. 4  投标报价的修正</w:t>
      </w:r>
    </w:p>
    <w:p>
      <w:pPr>
        <w:spacing w:line="500" w:lineRule="exact"/>
        <w:ind w:firstLine="480" w:firstLineChars="200"/>
        <w:rPr>
          <w:rFonts w:hint="eastAsia" w:ascii="宋体" w:hAnsi="宋体"/>
          <w:bCs/>
          <w:sz w:val="24"/>
          <w:szCs w:val="24"/>
        </w:rPr>
      </w:pPr>
      <w:r>
        <w:rPr>
          <w:rFonts w:hint="eastAsia" w:ascii="宋体" w:hAnsi="宋体"/>
          <w:bCs/>
          <w:sz w:val="24"/>
          <w:szCs w:val="24"/>
        </w:rPr>
        <w:t>3.4.2   投标报价有算术错误的，评标委员会按以下原则对投标报价进行修正，修正的价格经投标人书面确认后具有约束力。投标人不接受修正价格的，评标委员会应否决其投标。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（1）投标文件中的大写金额与小写金额不一致的，以大写金额为准；</w:t>
      </w:r>
    </w:p>
    <w:p>
      <w:pPr>
        <w:spacing w:line="500" w:lineRule="exact"/>
        <w:ind w:firstLine="480" w:firstLineChars="200"/>
        <w:rPr>
          <w:rFonts w:hint="eastAsia" w:ascii="宋体" w:hAnsi="宋体"/>
          <w:bCs/>
          <w:sz w:val="24"/>
          <w:szCs w:val="24"/>
        </w:rPr>
      </w:pPr>
      <w:r>
        <w:rPr>
          <w:rFonts w:hint="eastAsia" w:ascii="宋体" w:hAnsi="宋体"/>
          <w:bCs/>
          <w:sz w:val="24"/>
          <w:szCs w:val="24"/>
        </w:rPr>
        <w:t>（2）总价金额与依据单价计算出的结果不一致的，以单价金额为准修正总价，但单价金额小数点有明显错误的除外；</w:t>
      </w:r>
    </w:p>
    <w:p>
      <w:pPr>
        <w:spacing w:line="500" w:lineRule="exact"/>
        <w:ind w:firstLine="480" w:firstLineChars="200"/>
        <w:rPr>
          <w:rFonts w:hint="eastAsia" w:ascii="宋体" w:hAnsi="宋体"/>
          <w:bCs/>
          <w:sz w:val="24"/>
          <w:szCs w:val="24"/>
        </w:rPr>
      </w:pPr>
      <w:r>
        <w:rPr>
          <w:rFonts w:hint="eastAsia" w:ascii="宋体" w:hAnsi="宋体"/>
          <w:bCs/>
          <w:sz w:val="24"/>
          <w:szCs w:val="24"/>
        </w:rPr>
        <w:t>（3）当单价与数量相乘不等于合价时，以单价计算为准，如果单价有明显的小数点位置差错，应以标出的合价为准，同时对单价予以修正；</w:t>
      </w:r>
    </w:p>
    <w:p>
      <w:pPr>
        <w:spacing w:line="500" w:lineRule="exact"/>
        <w:ind w:firstLine="480" w:firstLineChars="200"/>
        <w:rPr>
          <w:rFonts w:hint="eastAsia" w:ascii="宋体" w:hAnsi="宋体"/>
          <w:bCs/>
          <w:sz w:val="24"/>
          <w:szCs w:val="24"/>
        </w:rPr>
      </w:pPr>
      <w:r>
        <w:rPr>
          <w:rFonts w:hint="eastAsia" w:ascii="宋体" w:hAnsi="宋体"/>
          <w:bCs/>
          <w:sz w:val="24"/>
          <w:szCs w:val="24"/>
        </w:rPr>
        <w:t>（4）当各子目的合价累计不等于总价时，应以各子目合价累计数为准，修正总价。</w:t>
      </w:r>
    </w:p>
    <w:p>
      <w:pPr>
        <w:spacing w:line="500" w:lineRule="exact"/>
        <w:ind w:firstLine="480" w:firstLineChars="200"/>
        <w:rPr>
          <w:rFonts w:hint="eastAsia" w:ascii="宋体" w:hAnsi="宋体"/>
          <w:bCs/>
          <w:sz w:val="24"/>
          <w:szCs w:val="24"/>
        </w:rPr>
      </w:pPr>
      <w:r>
        <w:rPr>
          <w:rFonts w:hint="eastAsia" w:ascii="宋体" w:hAnsi="宋体"/>
          <w:bCs/>
          <w:sz w:val="24"/>
          <w:szCs w:val="24"/>
        </w:rPr>
        <w:t>3.4.3   修正后的最终投标报价若超过最高投标限价（如有），评标委员会应否决其投标。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3.4.4   修正后的最终投标报价仅作为签订合同的一个依据，不参与评标价得分的计算。</w:t>
      </w:r>
    </w:p>
    <w:p>
      <w:pPr>
        <w:spacing w:line="500" w:lineRule="exact"/>
        <w:ind w:firstLine="480" w:firstLineChars="200"/>
        <w:rPr>
          <w:rFonts w:hint="eastAsia" w:ascii="宋体" w:hAnsi="宋体"/>
          <w:bCs/>
          <w:sz w:val="24"/>
          <w:szCs w:val="24"/>
        </w:rPr>
      </w:pPr>
      <w:r>
        <w:rPr>
          <w:rFonts w:hint="eastAsia" w:ascii="宋体" w:hAnsi="宋体"/>
          <w:bCs/>
          <w:sz w:val="24"/>
          <w:szCs w:val="24"/>
        </w:rPr>
        <w:t>3.5   低于成本报价</w:t>
      </w:r>
    </w:p>
    <w:p>
      <w:pPr>
        <w:spacing w:line="500" w:lineRule="exact"/>
        <w:ind w:firstLine="480" w:firstLineChars="200"/>
        <w:rPr>
          <w:rFonts w:hint="eastAsia" w:ascii="宋体" w:hAnsi="宋体"/>
          <w:bCs/>
          <w:sz w:val="24"/>
          <w:szCs w:val="24"/>
        </w:rPr>
      </w:pPr>
      <w:r>
        <w:rPr>
          <w:rFonts w:hint="eastAsia" w:ascii="宋体" w:hAnsi="宋体"/>
          <w:bCs/>
          <w:sz w:val="24"/>
          <w:szCs w:val="24"/>
        </w:rPr>
        <w:t>3.5.3   评标委员会发现投标人的报价明显低于其他投标报价，使得其投标报价可能低于其个别成本的，应要求该投标人作出书面说明并提供相应的证明材料 。投标人不能合理说明或不能提供相应证明材料的，评标委员会应认定该投标人以低于成本报价竞标，并否决其投标。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3.6   投标文件相关信息的核查</w:t>
      </w:r>
    </w:p>
    <w:p>
      <w:pPr>
        <w:spacing w:line="500" w:lineRule="exact"/>
        <w:ind w:firstLine="480" w:firstLineChars="200"/>
        <w:rPr>
          <w:rFonts w:hint="eastAsia" w:ascii="宋体" w:hAnsi="宋体"/>
          <w:bCs/>
          <w:sz w:val="24"/>
          <w:szCs w:val="24"/>
        </w:rPr>
      </w:pPr>
      <w:r>
        <w:rPr>
          <w:rFonts w:hint="eastAsia" w:ascii="宋体" w:hAnsi="宋体"/>
          <w:bCs/>
          <w:sz w:val="24"/>
          <w:szCs w:val="24"/>
        </w:rPr>
        <w:t>3.6.1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（1）有下列情形之一的，属于投标人相互串通投标：</w:t>
      </w:r>
    </w:p>
    <w:p>
      <w:pPr>
        <w:spacing w:line="500" w:lineRule="exact"/>
        <w:ind w:firstLine="480" w:firstLineChars="200"/>
        <w:rPr>
          <w:rFonts w:hint="eastAsia" w:ascii="宋体" w:hAnsi="宋体"/>
          <w:bCs/>
          <w:sz w:val="24"/>
          <w:szCs w:val="24"/>
        </w:rPr>
      </w:pPr>
      <w:r>
        <w:rPr>
          <w:rFonts w:hint="eastAsia" w:ascii="宋体" w:hAnsi="宋体"/>
          <w:bCs/>
          <w:sz w:val="24"/>
          <w:szCs w:val="24"/>
        </w:rPr>
        <w:t>a.投标人之间协商投标报价等投标文件的实质性内容；</w:t>
      </w:r>
    </w:p>
    <w:p>
      <w:pPr>
        <w:spacing w:line="500" w:lineRule="exact"/>
        <w:ind w:firstLine="480" w:firstLineChars="200"/>
        <w:rPr>
          <w:rFonts w:hint="eastAsia" w:ascii="宋体" w:hAnsi="宋体"/>
          <w:bCs/>
          <w:sz w:val="24"/>
          <w:szCs w:val="24"/>
        </w:rPr>
      </w:pPr>
      <w:r>
        <w:rPr>
          <w:rFonts w:hint="eastAsia" w:ascii="宋体" w:hAnsi="宋体"/>
          <w:bCs/>
          <w:sz w:val="24"/>
          <w:szCs w:val="24"/>
        </w:rPr>
        <w:t>b.投标人之间约定中标人；</w:t>
      </w:r>
    </w:p>
    <w:p>
      <w:pPr>
        <w:spacing w:line="500" w:lineRule="exact"/>
        <w:ind w:firstLine="480" w:firstLineChars="200"/>
        <w:rPr>
          <w:rFonts w:hint="eastAsia" w:ascii="宋体" w:hAnsi="宋体"/>
          <w:bCs/>
          <w:sz w:val="24"/>
          <w:szCs w:val="24"/>
        </w:rPr>
      </w:pPr>
      <w:r>
        <w:rPr>
          <w:rFonts w:hint="eastAsia" w:ascii="宋体" w:hAnsi="宋体"/>
          <w:bCs/>
          <w:sz w:val="24"/>
          <w:szCs w:val="24"/>
        </w:rPr>
        <w:t>c.投标人之间约定部分投标人放弃投标或中标；</w:t>
      </w:r>
    </w:p>
    <w:p>
      <w:pPr>
        <w:spacing w:line="500" w:lineRule="exact"/>
        <w:ind w:firstLine="480" w:firstLineChars="200"/>
        <w:rPr>
          <w:rFonts w:hint="eastAsia" w:ascii="宋体" w:hAnsi="宋体"/>
          <w:bCs/>
          <w:sz w:val="24"/>
          <w:szCs w:val="24"/>
        </w:rPr>
      </w:pPr>
      <w:r>
        <w:rPr>
          <w:rFonts w:hint="eastAsia" w:ascii="宋体" w:hAnsi="宋体"/>
          <w:bCs/>
          <w:sz w:val="24"/>
          <w:szCs w:val="24"/>
        </w:rPr>
        <w:t>d.属于同一集团、协会、商会等组织成员的投标人按照该组织要求协同投标；</w:t>
      </w:r>
    </w:p>
    <w:p>
      <w:pPr>
        <w:spacing w:line="500" w:lineRule="exact"/>
        <w:ind w:firstLine="480" w:firstLineChars="200"/>
        <w:rPr>
          <w:rFonts w:hint="eastAsia" w:ascii="宋体" w:hAnsi="宋体"/>
          <w:bCs/>
          <w:sz w:val="24"/>
          <w:szCs w:val="24"/>
        </w:rPr>
      </w:pPr>
      <w:r>
        <w:rPr>
          <w:rFonts w:hint="eastAsia" w:ascii="宋体" w:hAnsi="宋体"/>
          <w:bCs/>
          <w:sz w:val="24"/>
          <w:szCs w:val="24"/>
        </w:rPr>
        <w:t>e.投标人之间为谋取中标或排斥特定投标人而采取的其他联合行动。</w:t>
      </w:r>
    </w:p>
    <w:p>
      <w:pPr>
        <w:spacing w:line="500" w:lineRule="exact"/>
        <w:ind w:firstLine="480" w:firstLineChars="200"/>
        <w:rPr>
          <w:rFonts w:hint="eastAsia" w:ascii="宋体" w:hAnsi="宋体"/>
          <w:bCs/>
          <w:sz w:val="24"/>
          <w:szCs w:val="24"/>
        </w:rPr>
      </w:pPr>
      <w:r>
        <w:rPr>
          <w:rFonts w:hint="eastAsia" w:ascii="宋体" w:hAnsi="宋体"/>
          <w:bCs/>
          <w:sz w:val="24"/>
          <w:szCs w:val="24"/>
        </w:rPr>
        <w:t>（2）有下列情形之一的，视为投标人相互串通投标：</w:t>
      </w:r>
    </w:p>
    <w:p>
      <w:pPr>
        <w:spacing w:line="500" w:lineRule="exact"/>
        <w:ind w:firstLine="480" w:firstLineChars="200"/>
        <w:rPr>
          <w:rFonts w:hint="eastAsia" w:ascii="宋体" w:hAnsi="宋体"/>
          <w:bCs/>
          <w:sz w:val="24"/>
          <w:szCs w:val="24"/>
        </w:rPr>
      </w:pPr>
      <w:r>
        <w:rPr>
          <w:rFonts w:hint="eastAsia" w:ascii="宋体" w:hAnsi="宋体"/>
          <w:bCs/>
          <w:sz w:val="24"/>
          <w:szCs w:val="24"/>
        </w:rPr>
        <w:t>a.不同投标人的投标文件由同一单位或个人编制；</w:t>
      </w:r>
    </w:p>
    <w:p>
      <w:pPr>
        <w:spacing w:line="500" w:lineRule="exact"/>
        <w:ind w:firstLine="480" w:firstLineChars="200"/>
        <w:rPr>
          <w:rFonts w:hint="eastAsia" w:ascii="宋体" w:hAnsi="宋体"/>
          <w:bCs/>
          <w:sz w:val="24"/>
          <w:szCs w:val="24"/>
        </w:rPr>
      </w:pPr>
      <w:r>
        <w:rPr>
          <w:rFonts w:hint="eastAsia" w:ascii="宋体" w:hAnsi="宋体"/>
          <w:bCs/>
          <w:sz w:val="24"/>
          <w:szCs w:val="24"/>
        </w:rPr>
        <w:t>b.不同投标人委托同一单位或个人办理投标事宜（包括但不限于从同一个投标单位或者同一个自然人的IP地址或MAC地址下载招标文件或者上传投标文件）；</w:t>
      </w:r>
    </w:p>
    <w:p>
      <w:pPr>
        <w:spacing w:line="500" w:lineRule="exact"/>
        <w:ind w:firstLine="480" w:firstLineChars="200"/>
        <w:rPr>
          <w:rFonts w:hint="eastAsia" w:ascii="宋体" w:hAnsi="宋体"/>
          <w:bCs/>
          <w:sz w:val="24"/>
          <w:szCs w:val="24"/>
        </w:rPr>
      </w:pPr>
      <w:r>
        <w:rPr>
          <w:rFonts w:hint="eastAsia" w:ascii="宋体" w:hAnsi="宋体"/>
          <w:bCs/>
          <w:sz w:val="24"/>
          <w:szCs w:val="24"/>
        </w:rPr>
        <w:t>c.不同投标人的投标文件载明的项目管理成员为同一人；</w:t>
      </w:r>
    </w:p>
    <w:p>
      <w:pPr>
        <w:spacing w:line="500" w:lineRule="exact"/>
        <w:ind w:firstLine="480" w:firstLineChars="200"/>
        <w:rPr>
          <w:rFonts w:hint="eastAsia" w:ascii="宋体" w:hAnsi="宋体"/>
          <w:bCs/>
          <w:sz w:val="24"/>
          <w:szCs w:val="24"/>
        </w:rPr>
      </w:pPr>
      <w:r>
        <w:rPr>
          <w:rFonts w:hint="eastAsia" w:ascii="宋体" w:hAnsi="宋体"/>
          <w:bCs/>
          <w:sz w:val="24"/>
          <w:szCs w:val="24"/>
        </w:rPr>
        <w:t>d.不同投标人的投标文件异常一致或投标报价呈规律性差异；</w:t>
      </w:r>
    </w:p>
    <w:p>
      <w:pPr>
        <w:spacing w:line="500" w:lineRule="exact"/>
        <w:ind w:firstLine="480" w:firstLineChars="200"/>
        <w:rPr>
          <w:rFonts w:hint="eastAsia" w:ascii="宋体" w:hAnsi="宋体"/>
          <w:bCs/>
          <w:sz w:val="24"/>
          <w:szCs w:val="24"/>
        </w:rPr>
      </w:pPr>
      <w:r>
        <w:rPr>
          <w:rFonts w:hint="eastAsia" w:ascii="宋体" w:hAnsi="宋体"/>
          <w:bCs/>
          <w:sz w:val="24"/>
          <w:szCs w:val="24"/>
        </w:rPr>
        <w:t>e.不同投标人的投标文件相互混装；</w:t>
      </w:r>
    </w:p>
    <w:p>
      <w:pPr>
        <w:spacing w:line="500" w:lineRule="exact"/>
        <w:ind w:firstLine="480" w:firstLineChars="200"/>
        <w:rPr>
          <w:rFonts w:hint="eastAsia" w:ascii="宋体" w:hAnsi="宋体"/>
          <w:bCs/>
          <w:sz w:val="24"/>
          <w:szCs w:val="24"/>
        </w:rPr>
      </w:pPr>
      <w:r>
        <w:rPr>
          <w:rFonts w:hint="eastAsia" w:ascii="宋体" w:hAnsi="宋体"/>
          <w:bCs/>
          <w:sz w:val="24"/>
          <w:szCs w:val="24"/>
        </w:rPr>
        <w:t>f.不同投标人的投标保证金从同一单位或个人的账户转出。</w:t>
      </w:r>
    </w:p>
    <w:p>
      <w:pPr>
        <w:spacing w:line="500" w:lineRule="exact"/>
        <w:ind w:firstLine="480" w:firstLineChars="200"/>
        <w:rPr>
          <w:rFonts w:hint="eastAsia" w:ascii="宋体" w:hAnsi="宋体"/>
          <w:bCs/>
          <w:sz w:val="24"/>
          <w:szCs w:val="24"/>
        </w:rPr>
      </w:pPr>
      <w:r>
        <w:rPr>
          <w:rFonts w:hint="eastAsia" w:ascii="宋体" w:hAnsi="宋体"/>
          <w:bCs/>
          <w:sz w:val="24"/>
          <w:szCs w:val="24"/>
        </w:rPr>
        <w:t>（3）有下列情形之一的，属于招标人与投标人串通投标：</w:t>
      </w:r>
    </w:p>
    <w:p>
      <w:pPr>
        <w:spacing w:line="500" w:lineRule="exact"/>
        <w:ind w:firstLine="480" w:firstLineChars="200"/>
        <w:rPr>
          <w:rFonts w:hint="eastAsia" w:ascii="宋体" w:hAnsi="宋体"/>
          <w:bCs/>
          <w:sz w:val="24"/>
          <w:szCs w:val="24"/>
        </w:rPr>
      </w:pPr>
      <w:r>
        <w:rPr>
          <w:rFonts w:hint="eastAsia" w:ascii="宋体" w:hAnsi="宋体"/>
          <w:bCs/>
          <w:sz w:val="24"/>
          <w:szCs w:val="24"/>
        </w:rPr>
        <w:t>a.招标人在开标前开启投标文件并将有关信息泄露给其他投标人；</w:t>
      </w:r>
    </w:p>
    <w:p>
      <w:pPr>
        <w:spacing w:line="500" w:lineRule="exact"/>
        <w:ind w:firstLine="480" w:firstLineChars="200"/>
        <w:rPr>
          <w:rFonts w:hint="eastAsia" w:ascii="宋体" w:hAnsi="宋体"/>
          <w:bCs/>
          <w:sz w:val="24"/>
          <w:szCs w:val="24"/>
        </w:rPr>
      </w:pPr>
      <w:r>
        <w:rPr>
          <w:rFonts w:hint="eastAsia" w:ascii="宋体" w:hAnsi="宋体"/>
          <w:bCs/>
          <w:sz w:val="24"/>
          <w:szCs w:val="24"/>
        </w:rPr>
        <w:t>b.招标人直接或间接向投标人泄露标底、评标委员会成员等信息；</w:t>
      </w:r>
    </w:p>
    <w:p>
      <w:pPr>
        <w:spacing w:line="500" w:lineRule="exact"/>
        <w:ind w:firstLine="480" w:firstLineChars="200"/>
        <w:rPr>
          <w:rFonts w:hint="eastAsia" w:ascii="宋体" w:hAnsi="宋体"/>
          <w:bCs/>
          <w:sz w:val="24"/>
          <w:szCs w:val="24"/>
        </w:rPr>
      </w:pPr>
      <w:r>
        <w:rPr>
          <w:rFonts w:hint="eastAsia" w:ascii="宋体" w:hAnsi="宋体"/>
          <w:bCs/>
          <w:sz w:val="24"/>
          <w:szCs w:val="24"/>
        </w:rPr>
        <w:t>c.招标人明示或暗示投标人压低或抬高投标报价；</w:t>
      </w:r>
    </w:p>
    <w:p>
      <w:pPr>
        <w:spacing w:line="500" w:lineRule="exact"/>
        <w:ind w:firstLine="480" w:firstLineChars="200"/>
        <w:rPr>
          <w:rFonts w:hint="eastAsia" w:ascii="宋体" w:hAnsi="宋体"/>
          <w:bCs/>
          <w:sz w:val="24"/>
          <w:szCs w:val="24"/>
        </w:rPr>
      </w:pPr>
      <w:r>
        <w:rPr>
          <w:rFonts w:hint="eastAsia" w:ascii="宋体" w:hAnsi="宋体"/>
          <w:bCs/>
          <w:sz w:val="24"/>
          <w:szCs w:val="24"/>
        </w:rPr>
        <w:t>d.招标人授意投标人撤换、修改投标文件；</w:t>
      </w:r>
    </w:p>
    <w:p>
      <w:pPr>
        <w:spacing w:line="500" w:lineRule="exact"/>
        <w:ind w:firstLine="480" w:firstLineChars="200"/>
        <w:rPr>
          <w:rFonts w:hint="eastAsia" w:ascii="宋体" w:hAnsi="宋体"/>
          <w:bCs/>
          <w:sz w:val="24"/>
          <w:szCs w:val="24"/>
        </w:rPr>
      </w:pPr>
      <w:r>
        <w:rPr>
          <w:rFonts w:hint="eastAsia" w:ascii="宋体" w:hAnsi="宋体"/>
          <w:bCs/>
          <w:sz w:val="24"/>
          <w:szCs w:val="24"/>
        </w:rPr>
        <w:t>e.招标人明示或暗示投标人为特定投标人中标提供方便；</w:t>
      </w:r>
    </w:p>
    <w:p>
      <w:pPr>
        <w:spacing w:line="500" w:lineRule="exact"/>
        <w:ind w:firstLine="480" w:firstLineChars="200"/>
        <w:rPr>
          <w:rFonts w:hint="eastAsia" w:ascii="宋体" w:hAnsi="宋体"/>
          <w:bCs/>
          <w:sz w:val="24"/>
          <w:szCs w:val="24"/>
        </w:rPr>
      </w:pPr>
      <w:r>
        <w:rPr>
          <w:rFonts w:hint="eastAsia" w:ascii="宋体" w:hAnsi="宋体"/>
          <w:bCs/>
          <w:sz w:val="24"/>
          <w:szCs w:val="24"/>
        </w:rPr>
        <w:t>f.招标人与投标人为谋求特定投标人中标而采取的其他串通行为。</w:t>
      </w:r>
    </w:p>
    <w:p>
      <w:pPr>
        <w:spacing w:line="500" w:lineRule="exact"/>
        <w:ind w:firstLine="480" w:firstLineChars="200"/>
        <w:rPr>
          <w:rFonts w:hint="eastAsia" w:ascii="宋体" w:hAnsi="宋体"/>
          <w:bCs/>
          <w:sz w:val="24"/>
          <w:szCs w:val="24"/>
        </w:rPr>
      </w:pPr>
      <w:r>
        <w:rPr>
          <w:rFonts w:hint="eastAsia" w:ascii="宋体" w:hAnsi="宋体"/>
          <w:bCs/>
          <w:sz w:val="24"/>
          <w:szCs w:val="24"/>
        </w:rPr>
        <w:t>（4）投标人有下列情形之一的，属于弄虚作假的行为：</w:t>
      </w:r>
    </w:p>
    <w:p>
      <w:pPr>
        <w:spacing w:line="500" w:lineRule="exact"/>
        <w:ind w:firstLine="480" w:firstLineChars="200"/>
        <w:rPr>
          <w:rFonts w:hint="eastAsia" w:ascii="宋体" w:hAnsi="宋体"/>
          <w:bCs/>
          <w:sz w:val="24"/>
          <w:szCs w:val="24"/>
        </w:rPr>
      </w:pPr>
      <w:r>
        <w:rPr>
          <w:rFonts w:hint="eastAsia" w:ascii="宋体" w:hAnsi="宋体"/>
          <w:bCs/>
          <w:sz w:val="24"/>
          <w:szCs w:val="24"/>
        </w:rPr>
        <w:t>a.使用通过受让或租借等方式获取的资格、资质证书投标；</w:t>
      </w:r>
    </w:p>
    <w:p>
      <w:pPr>
        <w:spacing w:line="500" w:lineRule="exact"/>
        <w:ind w:firstLine="480" w:firstLineChars="200"/>
        <w:rPr>
          <w:rFonts w:hint="eastAsia" w:ascii="宋体" w:hAnsi="宋体"/>
          <w:bCs/>
          <w:sz w:val="24"/>
          <w:szCs w:val="24"/>
        </w:rPr>
      </w:pPr>
      <w:r>
        <w:rPr>
          <w:rFonts w:hint="eastAsia" w:ascii="宋体" w:hAnsi="宋体"/>
          <w:bCs/>
          <w:sz w:val="24"/>
          <w:szCs w:val="24"/>
        </w:rPr>
        <w:t>b.使用伪造、变造的许可证件；</w:t>
      </w:r>
    </w:p>
    <w:p>
      <w:pPr>
        <w:spacing w:line="500" w:lineRule="exact"/>
        <w:ind w:firstLine="480" w:firstLineChars="200"/>
        <w:rPr>
          <w:rFonts w:hint="eastAsia" w:ascii="宋体" w:hAnsi="宋体"/>
          <w:bCs/>
          <w:sz w:val="24"/>
          <w:szCs w:val="24"/>
        </w:rPr>
      </w:pPr>
      <w:r>
        <w:rPr>
          <w:rFonts w:hint="eastAsia" w:ascii="宋体" w:hAnsi="宋体"/>
          <w:bCs/>
          <w:sz w:val="24"/>
          <w:szCs w:val="24"/>
        </w:rPr>
        <w:t>c.提供虚假的业绩；</w:t>
      </w:r>
    </w:p>
    <w:p>
      <w:pPr>
        <w:spacing w:line="500" w:lineRule="exact"/>
        <w:ind w:firstLine="480" w:firstLineChars="200"/>
        <w:rPr>
          <w:rFonts w:hint="eastAsia" w:ascii="宋体" w:hAnsi="宋体"/>
          <w:bCs/>
          <w:sz w:val="24"/>
          <w:szCs w:val="24"/>
        </w:rPr>
      </w:pPr>
      <w:r>
        <w:rPr>
          <w:rFonts w:hint="eastAsia" w:ascii="宋体" w:hAnsi="宋体"/>
          <w:bCs/>
          <w:sz w:val="24"/>
          <w:szCs w:val="24"/>
        </w:rPr>
        <w:t>d.提供虚假的项目负责人或主要技术人员简历、劳动关系证明；</w:t>
      </w:r>
    </w:p>
    <w:p>
      <w:pPr>
        <w:spacing w:line="500" w:lineRule="exact"/>
        <w:ind w:firstLine="480" w:firstLineChars="200"/>
        <w:rPr>
          <w:rFonts w:hint="eastAsia" w:ascii="宋体" w:hAnsi="宋体"/>
          <w:bCs/>
          <w:sz w:val="24"/>
          <w:szCs w:val="24"/>
        </w:rPr>
      </w:pPr>
      <w:r>
        <w:rPr>
          <w:rFonts w:hint="eastAsia" w:ascii="宋体" w:hAnsi="宋体"/>
          <w:bCs/>
          <w:sz w:val="24"/>
          <w:szCs w:val="24"/>
        </w:rPr>
        <w:t>e.提供虚假的信用状况；</w:t>
      </w:r>
    </w:p>
    <w:p>
      <w:pPr>
        <w:spacing w:line="500" w:lineRule="exact"/>
        <w:ind w:firstLine="480" w:firstLineChars="200"/>
        <w:rPr>
          <w:rFonts w:hint="eastAsia" w:ascii="宋体" w:hAnsi="宋体"/>
          <w:bCs/>
          <w:sz w:val="24"/>
          <w:szCs w:val="24"/>
        </w:rPr>
      </w:pPr>
      <w:r>
        <w:rPr>
          <w:rFonts w:hint="eastAsia" w:ascii="宋体" w:hAnsi="宋体"/>
          <w:bCs/>
          <w:sz w:val="24"/>
          <w:szCs w:val="24"/>
        </w:rPr>
        <w:t>f.其他弄虚作假的行为。</w:t>
      </w:r>
    </w:p>
    <w:p>
      <w:pPr>
        <w:spacing w:line="500" w:lineRule="exact"/>
        <w:ind w:firstLine="480" w:firstLineChars="200"/>
        <w:rPr>
          <w:rFonts w:hint="eastAsia" w:ascii="宋体" w:hAnsi="宋体"/>
          <w:bCs/>
          <w:sz w:val="24"/>
          <w:szCs w:val="24"/>
        </w:rPr>
      </w:pPr>
      <w:r>
        <w:rPr>
          <w:rFonts w:hint="eastAsia" w:ascii="宋体" w:hAnsi="宋体"/>
          <w:bCs/>
          <w:sz w:val="24"/>
          <w:szCs w:val="24"/>
        </w:rPr>
        <w:t>3.7   投标文件的澄清和说明</w:t>
      </w:r>
    </w:p>
    <w:p>
      <w:pPr>
        <w:spacing w:line="500" w:lineRule="exact"/>
        <w:ind w:firstLine="480" w:firstLineChars="200"/>
        <w:rPr>
          <w:rFonts w:hint="eastAsia" w:ascii="宋体" w:hAnsi="宋体"/>
          <w:bCs/>
          <w:sz w:val="24"/>
          <w:szCs w:val="24"/>
        </w:rPr>
      </w:pPr>
      <w:r>
        <w:rPr>
          <w:rFonts w:hint="eastAsia" w:ascii="宋体" w:hAnsi="宋体"/>
          <w:bCs/>
          <w:sz w:val="24"/>
          <w:szCs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500" w:lineRule="exact"/>
        <w:ind w:firstLine="480" w:firstLineChars="200"/>
        <w:rPr>
          <w:rFonts w:hint="eastAsia" w:ascii="宋体" w:hAnsi="宋体"/>
          <w:bCs/>
          <w:sz w:val="24"/>
          <w:szCs w:val="24"/>
        </w:rPr>
      </w:pPr>
      <w:r>
        <w:rPr>
          <w:rFonts w:hint="eastAsia" w:ascii="宋体" w:hAnsi="宋体"/>
          <w:bCs/>
          <w:sz w:val="24"/>
          <w:szCs w:val="24"/>
        </w:rPr>
        <w:t>3.7.2   澄清和说明不得超出投标文件的范围或改变投标文件的实质性内容（算术性错误的修正除外）。投标人的书面澄清、说明属于投标文件的组成部分。</w:t>
      </w:r>
    </w:p>
    <w:p>
      <w:pPr>
        <w:spacing w:line="500" w:lineRule="exact"/>
        <w:ind w:firstLine="480" w:firstLineChars="200"/>
        <w:rPr>
          <w:rFonts w:hint="eastAsia" w:ascii="宋体" w:hAnsi="宋体"/>
          <w:bCs/>
          <w:sz w:val="24"/>
          <w:szCs w:val="24"/>
        </w:rPr>
      </w:pPr>
      <w:r>
        <w:rPr>
          <w:rFonts w:hint="eastAsia" w:ascii="宋体" w:hAnsi="宋体"/>
          <w:bCs/>
          <w:sz w:val="24"/>
          <w:szCs w:val="24"/>
        </w:rPr>
        <w:t>3.7.3  评标委员会不得暗示或诱导投标人作出澄清、说明，对投标人提交的澄清、说明有疑问的，可以要求投标人进一步澄清或说明，直至满足评标委员会的要求。</w:t>
      </w:r>
    </w:p>
    <w:p>
      <w:pPr>
        <w:spacing w:line="500" w:lineRule="exact"/>
        <w:ind w:firstLine="480" w:firstLineChars="200"/>
        <w:rPr>
          <w:rFonts w:hint="eastAsia" w:ascii="宋体" w:hAnsi="宋体"/>
          <w:bCs/>
          <w:sz w:val="24"/>
          <w:szCs w:val="24"/>
        </w:rPr>
      </w:pPr>
      <w:r>
        <w:rPr>
          <w:rFonts w:hint="eastAsia" w:ascii="宋体" w:hAnsi="宋体"/>
          <w:bCs/>
          <w:sz w:val="24"/>
          <w:szCs w:val="24"/>
        </w:rPr>
        <w:t>3.7.4   凡超出招标文件规定的或给委托人带来未曾要求的利益的变化、偏差或其他因素在评标时不予考虑。</w:t>
      </w:r>
    </w:p>
    <w:p>
      <w:pPr>
        <w:spacing w:line="500" w:lineRule="exact"/>
        <w:ind w:firstLine="480" w:firstLineChars="200"/>
        <w:rPr>
          <w:rFonts w:hint="eastAsia" w:ascii="宋体" w:hAnsi="宋体"/>
          <w:bCs/>
          <w:sz w:val="24"/>
          <w:szCs w:val="24"/>
        </w:rPr>
      </w:pPr>
      <w:r>
        <w:rPr>
          <w:rFonts w:hint="eastAsia" w:ascii="宋体" w:hAnsi="宋体"/>
          <w:bCs/>
          <w:sz w:val="24"/>
          <w:szCs w:val="24"/>
        </w:rPr>
        <w:t>3.8   不得否决投标的情形</w:t>
      </w:r>
    </w:p>
    <w:p>
      <w:pPr>
        <w:spacing w:line="500" w:lineRule="exact"/>
        <w:ind w:firstLine="480" w:firstLineChars="200"/>
        <w:rPr>
          <w:rFonts w:hint="eastAsia" w:ascii="宋体" w:hAnsi="宋体"/>
          <w:bCs/>
          <w:sz w:val="24"/>
          <w:szCs w:val="24"/>
        </w:rPr>
      </w:pPr>
      <w:r>
        <w:rPr>
          <w:rFonts w:hint="eastAsia" w:ascii="宋体" w:hAnsi="宋体"/>
          <w:bCs/>
          <w:sz w:val="24"/>
          <w:szCs w:val="24"/>
        </w:rPr>
        <w:t>投标文件存在第二章“投标人须知”第1.12.3项所列情形的，均视为细微偏差，评标委员会不得否决投标人的投标，应按照第二章“投标人须知”第1.12.4项规定的原则处理。</w:t>
      </w:r>
    </w:p>
    <w:p>
      <w:pPr>
        <w:spacing w:line="500" w:lineRule="exact"/>
        <w:ind w:firstLine="480" w:firstLineChars="200"/>
        <w:rPr>
          <w:rFonts w:hint="eastAsia" w:ascii="宋体" w:hAnsi="宋体"/>
          <w:bCs/>
          <w:sz w:val="24"/>
          <w:szCs w:val="24"/>
        </w:rPr>
      </w:pPr>
      <w:r>
        <w:rPr>
          <w:rFonts w:hint="eastAsia" w:ascii="宋体" w:hAnsi="宋体"/>
          <w:bCs/>
          <w:sz w:val="24"/>
          <w:szCs w:val="24"/>
        </w:rPr>
        <w:t>3.9   评标结果</w:t>
      </w:r>
    </w:p>
    <w:p>
      <w:pPr>
        <w:spacing w:line="500" w:lineRule="exact"/>
        <w:ind w:firstLine="480" w:firstLineChars="200"/>
        <w:rPr>
          <w:rFonts w:hint="eastAsia" w:ascii="宋体" w:hAnsi="宋体"/>
          <w:bCs/>
          <w:sz w:val="24"/>
          <w:szCs w:val="24"/>
        </w:rPr>
      </w:pPr>
      <w:r>
        <w:rPr>
          <w:rFonts w:hint="eastAsia" w:ascii="宋体" w:hAnsi="宋体"/>
          <w:bCs/>
          <w:sz w:val="24"/>
          <w:szCs w:val="24"/>
        </w:rPr>
        <w:t>3.9.1   除第二章“投标人须知”前附表授权直接确定中标人外，评标委员会按照得分由高到低的顺序推荐中标候选人，并标明排序。</w:t>
      </w:r>
    </w:p>
    <w:p>
      <w:r>
        <w:rPr>
          <w:rFonts w:hint="eastAsia" w:ascii="宋体" w:hAnsi="宋体"/>
          <w:bCs/>
          <w:sz w:val="24"/>
          <w:szCs w:val="24"/>
        </w:rPr>
        <w:t>3.9.2   评标委员会完成评标后，应在交易系统中上传评标报告。</w:t>
      </w:r>
    </w:p>
    <w:sectPr>
      <w:pgSz w:w="11906" w:h="16838"/>
      <w:pgMar w:top="1440" w:right="4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TI1ZjIzOTljNWZjNGNmZjU0ODkwYWVkM2JjYjAifQ=="/>
  </w:docVars>
  <w:rsids>
    <w:rsidRoot w:val="6A916239"/>
    <w:rsid w:val="6A91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1"/>
    <w:pPr>
      <w:keepNext/>
      <w:keepLines/>
      <w:spacing w:line="410" w:lineRule="auto"/>
      <w:outlineLvl w:val="1"/>
    </w:pPr>
    <w:rPr>
      <w:rFonts w:ascii="Arial" w:hAnsi="Arial" w:eastAsia="黑体"/>
      <w:b/>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rPr>
  </w:style>
  <w:style w:type="paragraph" w:customStyle="1" w:styleId="6">
    <w:name w:val="Other|1"/>
    <w:basedOn w:val="1"/>
    <w:qFormat/>
    <w:uiPriority w:val="0"/>
    <w:pPr>
      <w:wordWrap w:val="0"/>
      <w:spacing w:line="425" w:lineRule="auto"/>
      <w:ind w:firstLine="400" w:firstLineChars="200"/>
    </w:pPr>
    <w:rPr>
      <w:rFonts w:ascii="宋体" w:hAnsi="宋体" w:cs="宋体"/>
      <w:color w:val="000000"/>
      <w:kern w:val="0"/>
      <w:sz w:val="19"/>
      <w:szCs w:val="19"/>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2023-12-05T15:20:00Z</dcterms:created>
  <dc:creator>阿木木</dc:creator>
  <cp:lastModifiedBy>阿木木</cp:lastModifiedBy>
  <dcterms:modified xsi:type="dcterms:W3CDTF">2023-12-05T15:24:24Z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60F8BE24F287431A9264A80C7D99D7E9_11</vt:lpwstr>
  </property>
</Properties>
</file>